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June 18, 2025, total duration (15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to sell these back. Were they the developer or was there an outside developer doing that? No, it was a Build-A-Suite for Lowe's, but the seller was the original developer. Yeah, so the seller's developer, they built this thing up, they entered into this arrangement with the Eppingham Development Authority, they got some tax abatements, they basically transfer the title to the, well they transfer a ground lease, I guess they don't, who owns the improvements? I guess they get the improvements with the accounting too, the Development Authority. They get the improvements and the ground, they basically lease it back to the developer under this ground lease, right? And then they issue a bond also to the developer? Walk me through that. Well, so I know the net impact of all this. I'm probably less comfortable talking about all of the legal steps in between, but if we need to go there, John Dunley at Baker Bots can probably better do that, but from my perspective, obviously it's a non-economic ground lease where the typical way in Georgia is done and we effectively have clear title to the land because we can collapse at any time for $10. Well, I mean, if you collapse at any time, the notes got to be repaid to collapse and I'm trying to understand how that works. I was looking through the ground lease, so it says here, the ground lease, it says, the authority hereby grants the let's see an option to purchase the project and to terminate this lease in its entirety at any time during the term of this lease after full payment or cancellation of the note. Okay, so how does the note get canceled? That I don't know. I'm happy to get John Dunley on the phone. There's a couple of things in here. There's that and there's basically you have this pilot agreement where you basically get the payment in lieu of taxes, but you have to comply with certain like hiring requirements and if you fail to meet those, then I guess you can have some penalties. So I just want to understand what the impact of that. Look, during the match release term, a match release is sort of a hell and high water type of lease, right? So, you know, Hines is going to pay the rent and all this stuff doesn't really make any difference. But if Hines, you know, they don't exercise the option, they run out the term of the match release, but I'm at the end of the match release, I own this property and I just have to understand, I have to look at that to say what happens to the value of this property at the end of the property if we lose the tax abatement and the like. So I have to understand how that all works, okay? Yeah, and that's really only if Lowe's were to go bankrupt, right? Yeah, bankrupt, get sold or do something crazy, right? Right, but I guess when you factor in the credit, right, you're talking about Lowe's home improvement going bankrupt. They could go bankrupt. We've had some surprisingly large tenants go bankrupt over the years, haven't we? Yeah, no, it's not impossible. So I just have to look at that at Lowe's. I mean, if Lowe's doesn't go bankrupt, they're probably going to maintain the, you know, they're going to pay the lease. I have to look at that lease to see if that lease says, does that lease say they're going to comply with the terms of the ground lease as far as the pilot, the employment obligations? I don't know offhand. I'm sorry, I didn't realize if the questions were so technical, I would have had probably a more appropriate focus on the call, so I apologize. Okay, they're technical on this structure. I don't know, maybe you have a document that kind of I see the I.C. memo doesn't really talk about this stuff at all. It doesn't talk about this structure. Maybe there's a memo internally that you guys got that kind of says, hey, here's all the structure. I saw some description in the tax opinion. There's very little in the PPM. There's some in the tax opinion as far as how it's outstructured because they had to address it for their opinion, but there's really not like a memo discussing the pros and cons and the risks and how they're mitigated about the structure. So if you have something like that, maybe you do. That would be helpful. So that's one area I want to get through. The second area was just the renovatement on the Armstrong property. Generally speaking, it seems to be like they have renovatement full for a couple years and partial for more years. And that reduces the income that comes to the master tenant. But the master tenant is still paying rent to the trust. So you have a little bit of shortfall in the revenue that you're having to make up. But that's part of the way you're addressing that is basically raising you're getting some money from the offering proceeds as a credit to help offset the fact that you don't have revenue to pay the master lease payments for the period of time when there's renovatement. Is that accurate? We're passing on the free rent credit to the DST investors. So we're raising an amount net of that credit. Is it net of or is it gross of? Net of. So we have... I don't know, Dana, do they have our model? It looked like you were basically... I heard it the other way. That you're raising money to the rent credit. Is that a reduction in the offering proceeds or an increase in the offering proceeds? It's a reduction. So if you're in the model on the top left, there's the build up to... I've got to find the model. Let me see. I can show my screen too. Yeah, show your screen. That's easier for me. This may look just a little different. So this should be pretty similar to what you see there where you have the contract purchase price plus transaction expenses but then less the free rent credit. And then that's the number that we gross up for the trust reserve and the load. So the free rent credit... Okay, the seller is reducing the amount that you have to pay because they negotiated a credit. Is that basically what it is? We negotiated the credit from the seller. So we're simply passing on our true net basis that we received to the DST. So you guys are getting less rent during the first couple of years, right? So you're still paying out distribution. So does that create a short flow? So that NOI number, the revenue number, is lower than it would be if you were getting the full rent, right? Right. So the NOI is reflective of the free rent which is why we got the purchase price credit from the seller. And then you are right in year one there, we have a model loss on the master lease of that $367,000. So that revenue of $12,000,003... You're a busy guy. That $12,000,000 number, that is the actual payments due under the lease taking account that you're not getting the rent because you have a free rent period? Correct. The $12,000,000 is net of the free rent. Net of the free rent. So that makes you guys operate at a loss because you're still paying out the 4.9% even though you're not really getting rent to cover the 4.9% because there's a free rent period. Correct. So I'm willing to take that very modest loss in year one because of the projected total economics over the master lease. But the other way I think about it too is, let's remove the DST from the equation. If I wasn't paying this master lease rent, I would be paying the distribution to the REIT shareholders than what I'm paying out to the master lease folks. So there's a shortfall regardless. But it's... Overall, you have an economic... You have an 800-some-odd, $1,000 of it was. I can't remember what it was. You had some sort of overall economic gain. I can't remember the steal of it was because it was a number. Yeah, while there's a shortfall in my yield, the seller's paying, giving me a reduction to the basis. Total economics, I'm whole. But yes, my year one yield is short, right? Yes, year one. But over the cash flow, retain... But yeah, so you're making up. Every other year, you're getting a million dollars of excess cash flow. So you have a loss in the first year. And I'm trying to make it also easier where it starts getting complicated if you start messing with the yield each year to account for the free rent. Because it's not a lot of money. It's $1.3 million on a $194 million deal. So it's not material. So rather than having a lower year one rent and then increasing it in year two because I'm no longer at free rent, it's too complicated. Was that the... There was a number in person sales. Was that the same number? It may not tie... Well, it'll probably be a little bit off, certainly at the closing statement because of prorations. There's some language at the end of the pricing supplements. And it's the same language for these transaction expenses where if we're over or under, then those amounts are either effectively the master tenant eats it or it stays in the trust for the benefit of the DST. So we do as good of a job as we can of getting these numbers as close as possible. But obviously, they're not going to tie to the dollar. They should be close then. This is 1.379. The lease credit here is 1.283. That's a pretty big difference. What's the reconciliation for that? Maybe it's a little easier with the transaction expenses because it's a positive number. But if the actual transaction expenses were $300,000, then the master tenant eats $6,000 versus, let's say, they were only $294,000. The DST investors keep that extra $4,000 within the DST. And so that is cash. We're really taking on the risk as the read-on. We're backstopping these numbers. So the DST investor is never going to be worse off. I suppose the only real worse off is maybe, from the perspective of timing of cash, where if these expenses were only $290,000, there's $4,000 of cash sitting in the DST, but it's still their money. Just practically, we can't get it since we're running these concurrently with closing. If we waited until all of the post-closing prorations and all the expenses to come in, you're just delaying everything by a couple months. Assuming a closing date of May 13, it says $1,379,000. So that's basically almost $100,000 difference from this pre-run credit amount. Do you know how that came about? I don't. I know we didn't close on that day, but these prorations, the model is getting done on the offering docs in advance of the final prorations, which are typically done basically on the day before and day of close. There's a timing thing. Again, I don't think it's material because the DST investors are protected and made whole, but I would love for them to be the same, but it's not practical from a timing perspective. It would be good if you had some calculation for that. I have that one. That one's from our final underwriting that will tie to the IC memo. The IC memo? Yes, that number's in the IC memo. I think it's from the IC memo until the prorations, right? It's literally to that day. I think this is just maybe a rougher calculation than what was done on the closing statement. The IC memo is dated November... No, it's April 17th. Let me see where it's at in the calculation. Here, I can pull it up. It's in this number, this credits, and so it's referencing the free rent credit issued by seller of 1.28. It's this number. It just says 1.28. That's different than the person sale agreement. That's a question why they're different. It's all right, guys. We went to IC a month before we closed, right? You're never going to get exactly the same numbers. Exactly the free rent credit should be lower in May than it was in April because they burned off some of the free rent credit between April and May. The free rent credit should be lower, not higher. You're not wrong. There's a lot of moving parts and sometimes it's just estimates. All right, we can set up a call if the person understands that other structure and I'm just working my way through this stuff. I'm trying to get this thing done. I'm not doing anything except for doing my final review on this deal. I'll be working even on the holiday tomorrow. Let me get it done.</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 xml:space="preserve">They began by asking if the seller was also the developer or if an outside developer was involved. The response was that it was a Build-A-Suite for Lowe's, with the original developer acting as the seller. That seller had built the project, entered into an arrangement with the Eppingham Development Authority, and received tax abatements. Essentially, the seller transferred a ground lease—the authority received the improvements and the ground—and then leased the property back to the developer under that ground lease. A bond was also issued to the developer. </w:t>
        <w:br/>
        <w:br/>
        <w:t>One speaker explained that although they understood the net impact of the arrangement, the detailed legal steps were less clear. They mentioned that John Dunley at Baker Bots could explain further, while noting that the structure was a non-economic ground lease similar to those typically used in Georgia. They added that there was clear title to the land because it could be collapsed at any time for $10; however, if collapse occurred, the note would have to be repaid. They referred to the ground lease terms, which stated that the authority granted an option to purchase the project and terminate the lease after full payment or cancellation of the note. Although the method for canceling the note was not understood, the speaker offered to have John Dunley explain if necessary. They also described a pilot agreement that provided a payment in lieu of taxes subject to certain employment requirements, with penalties for noncompliance.</w:t>
        <w:br/>
        <w:br/>
        <w:t>The discussion then shifted to a match release term—described as a “hell and high water” lease—where Hines would pay the rent regardless of whether the free rent option was exercised by Lowe's. The speaker noted that if Lowe's did not exercise the option and reached the end of the term, the property would revert, and it was important to understand the impact on the property's value if the tax abatement and similar benefits were lost. They acknowledged that this scenario might only become critical if Lowe’s were to go bankrupt, be sold, or face other drastic changes. The risk of bankruptcy was noted as not impossible, given past experiences with large tenants.</w:t>
        <w:br/>
        <w:br/>
        <w:t xml:space="preserve">Attention then turned to the renovatement at the Armstrong property. They explained that the property experienced full renovatement for a couple of years and partial renovatement for additional years, which reduced the income received by the master tenant. Despite this reduction, the master tenant continued paying rent to the trust. To address this shortfall, the offering proceeds included a free rent credit passed on to the DST investors. The speaker clarified that the credit was applied net, reducing the amount raised in the offering proceeds. They also mentioned that the model indicated a loss of $367,000 on the master lease in year one because the actual lease payments of $12,000,003 were net of the free rent credit. This mismatch meant that although the distribution was maintained at 4.9%, the free rent period caused an operating loss in the first year. However, over the life of the master lease, future excess cash flows would more than make up for that initial shortfall. </w:t>
        <w:br/>
        <w:br/>
        <w:t xml:space="preserve">They also discussed that if the DST were removed from the equation, the owner would be paying the distributions to the REIT shareholders rather than the master lease payments. In both cases, there was a shortfall, and the seller’s purchase price credit helped mitigate the issue. The speakers noted that while a modeled discrepancy existed between a free rent credit of 1.379 and another figure of 1.283 (reflected in different documents), these differences were attributed to timing issues between the interim calculations and the final closing statements, where prorations were applied. One speaker noted that if transaction expenses varied slightly (for example, $300,000 versus $294,000), the difference would be managed by either the master tenant absorbing it or the DST investors retaining the cash in the trust. </w:t>
        <w:br/>
        <w:br/>
        <w:t>They acknowledged that minor timing differences (such as a difference of nearly $100,000 related to the closing date of May 13) could occur because the model was completed in advance of final prorations. It was recognized that the DST investors were protected regardless of these timing adjustments. One speaker referred to the final underwriting and the IC memo (dated April 17) for the most accurate figures, explaining that the free rent credit would naturally be lower at closing than in earlier estimates due to the consumption of some credit during the period between April and May.</w:t>
        <w:br/>
        <w:br/>
        <w:t>In conclusion, they agreed to arrange a follow-up call for anyone requiring further clarification of the structure. One speaker noted that they were finalizing their review of the deal and would be working through the holiday if necessary to complete the process.</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 xml:space="preserve">• Seller/Developer Arrangement:  </w:t>
        <w:br/>
        <w:t xml:space="preserve"> – The project was a Build-A-Suite for Lowe’s, developed and sold by the original developer.  </w:t>
        <w:br/>
        <w:t xml:space="preserve"> – The seller built the project, entered an agreement with the Eppingham Development Authority, and received tax abatements.  </w:t>
        <w:br/>
        <w:t xml:space="preserve"> – The deal involved transferring a ground lease (the authority received both improvements and the ground) and leasing the property back to the developer under that lease.  </w:t>
        <w:br/>
        <w:t xml:space="preserve"> – A bond was issued to the developer as part of this structure.</w:t>
        <w:br/>
        <w:br/>
        <w:t xml:space="preserve">• Legal and Structural Details:  </w:t>
        <w:br/>
        <w:t xml:space="preserve"> – The transaction utilized a non-economic ground lease similar to those typical in GA, with clear title ensured by a clause allowing land collapse at any time for $10 (with note repayment required if collapse occurred).  </w:t>
        <w:br/>
        <w:t xml:space="preserve"> – The ground lease included an option for the authority to purchase the project and terminate the lease upon full payment or cancellation of the note, though the note cancellation method was not fully clear.  </w:t>
        <w:br/>
        <w:t xml:space="preserve"> – A legal expert (John Dunley from Baker Bots) was referenced for further explanation if needed.</w:t>
        <w:br/>
        <w:br/>
        <w:t xml:space="preserve">• Pilot Agreement and Tax Considerations:  </w:t>
        <w:br/>
        <w:t xml:space="preserve"> – Discussion included a pilot agreement offering a payment in lieu of taxes subject to specific employment requirements, with penalties for noncompliance.</w:t>
        <w:br/>
        <w:br/>
        <w:t xml:space="preserve">• “Match Release” Term (Hell and High Water Lease):  </w:t>
        <w:br/>
        <w:t xml:space="preserve"> – Described a lease where Hines pays rent regardless of Lowe’s exercising a free rent option.  </w:t>
        <w:br/>
        <w:t xml:space="preserve"> – If Lowe’s does not exercise the option and the term ends, the property reverts, potentially impacting its valuation if tax abatements and similar benefits are lost.  </w:t>
        <w:br/>
        <w:t xml:space="preserve"> – This risk is notable especially in scenarios of bankruptcy or significant corporate changes at Lowe’s.</w:t>
        <w:br/>
        <w:br/>
        <w:t xml:space="preserve">• Renovation and Free Rent Credit at the Armstrong Property:  </w:t>
        <w:br/>
        <w:t xml:space="preserve"> – The property underwent full renovations for several years followed by partial renovations, reducing master tenant income.  </w:t>
        <w:br/>
        <w:t xml:space="preserve"> – To offset reduced income, a free rent credit was provided to DST investors, which reduced the net proceeds in the offering.  </w:t>
        <w:br/>
        <w:t xml:space="preserve"> – The model indicated a loss of $367K on the master lease in year one because actual lease payments of $12,000,003 were net of the free rent credit; the lease still maintained a 4.9% distribution, with future cash flows expected to offset the initial loss.</w:t>
        <w:br/>
        <w:br/>
        <w:t xml:space="preserve">• DST Versus REIT Payment Structures:  </w:t>
        <w:br/>
        <w:t xml:space="preserve"> – There was discussion that if the DST were removed, distributions would go to REIT shareholders via the owner rather than as master lease payments, with a seller’s purchase price credit helping to mitigate shortfalls in both cases.</w:t>
        <w:br/>
        <w:br/>
        <w:t xml:space="preserve">• Model Discrepancies and Timing Adjustments:  </w:t>
        <w:br/>
        <w:t xml:space="preserve"> – A noted discrepancy between free rent credit figures of 1.379 and 1.283 was attributed to timing differences between interim calculations and final closing prorations.  </w:t>
        <w:br/>
        <w:t xml:space="preserve"> – Transaction expenses showed slight variation (e.g., $300K vs. $294K), with adjustments managed either by the master tenant or retained in the DST trust.  </w:t>
        <w:br/>
        <w:t xml:space="preserve"> – Minor timing differences, including nearly a $100K variance related to the closing date of May 13, were acknowledged.  </w:t>
        <w:br/>
        <w:t xml:space="preserve"> – The final underwriting figures and the IC memo dated April 17 reflect the most accurate estimates, with the free rent credit naturally lower at closing due to consumption between April and May.</w:t>
        <w:br/>
        <w:br/>
        <w:t xml:space="preserve">• Next Steps and Final Review:  </w:t>
        <w:br/>
        <w:t xml:space="preserve"> – A follow-up call was agreed upon for further clarification as needed.  </w:t>
        <w:br/>
        <w:t xml:space="preserve"> – The final review of the deal was underway, with work extending through the holiday if necessary.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