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rFonts w:ascii="Monaco" w:hAnsi="Monaco"/>
          <w:sz w:val="22"/>
        </w:rPr>
        <w:t>Transcript from May 31, 2025, total duration (33 minutes)</w:t>
      </w:r>
    </w:p>
    <w:p>
      <w:pPr>
        <w:pStyle w:val="Heading2"/>
        <w:jc w:val="left"/>
      </w:pPr>
      <w:r>
        <w:rPr>
          <w:rFonts w:ascii="Monaco" w:hAnsi="Monaco"/>
          <w:sz w:val="22"/>
        </w:rPr>
        <w:t>Section 1, recording time between 0:00:00-0:30:00</w:t>
      </w:r>
    </w:p>
    <w:p>
      <w:pPr>
        <w:ind w:firstLine="720"/>
        <w:jc w:val="left"/>
      </w:pPr>
      <w:r>
        <w:rPr>
          <w:rFonts w:ascii="Monaco" w:hAnsi="Monaco"/>
          <w:sz w:val="22"/>
        </w:rPr>
        <w:t>they just would. If you want to perform in a one, you have to perform in a one. I think we need to talk about the requirements. That was going to be one of the things we had questions on. We talked about needing appraisals during the construction period. Well, not necessarily appraisals, we need a value. It's a little different, because we don't need to go pay somebody to say, this half-billed bunch of sticks is worth X. We just need to reflect some sort of value. Yeah, and that's part of the structure. So for the other side we're doing, I think it's effectively carrying a cost. Twelve months pass, substantial completion, we'll do an actual third-party appraisal to the extent the asset isn't being marketed for sale. So that's how you make in the documents. Did the city require that? It was an ask. For twelve months after construction starts, an appraisal? Twelve months after substantial completion. What about value? Did they ask for value during construction? Yeah, so we're effectively carrying that cost during construction. But you guys want an actual, or will that work? Yeah, will that work? I mean, I'd have to clear with Byron. I think we've done something similar where it's cost, but I think it's basically being cost plus fees. Right, right. Yeah, we have the valuation policy set, so we can share that and get a quick thumbs up or thumbs down. Yeah, absolutely. Yeah, you should send that to us and we'll have Byron take a look. It doesn't sound different than what we've done in the past. We understand, we recognize that it's tricky. While you're building something, to say, I don't know. Right, yeah, and that was the balance we were trying to strike. It's a project under construction. You know your cost basis, what you've invested to date, but it's hard to say what the fully improved value will be until you're closer to substantial completion. I think that the most important thing is that you guys do commit to performing those third-party valuations and the results after the projects are done. Yeah, that's in the policy. And then there may be, I don't, again I have to look at this a little bit more, but there may be a time-bound aspect to it as well. Just to try to, in the off chance you have huge cost overruns and the project's just not getting done, that's clearly going to be an issue related to the values. So you don't just continue forever and this project's not really getting done. No, no, I think it's, so post, it's at substantial completion where third-party appraisal and then it's annual thereafter. Yeah, yeah, I get that piece of it, but I think we put in something like, you know, but no later than four years after the start of the deadline or something like that. Oh, I see, yeah. Like I said, like a project that's just not going well. Right, right, right, yeah. Is it fair to say you're going to have issues if you have those types of cost overruns? That's not going to be reflected if you're just, you know, reflecting them. Yeah, that's understandable. Let me, again, like I'll have that be fine. I don't think that's anything you guys can't figure out. Yeah, no, we've, yeah, that's fine. That's not a problem at all. Timeline. Timeline is now. We are on the other side of this with the bank. I've got two marketing calls today. So we started those last week. I got this full PPM last night. I'm waiting on compliance review. So that could, you know, I'll get the guys to grab the valuation policy and package all of that up, and we should be in a position to send that today. And you just reminded me this at breakfast, but the pricing supplement is something we can just slide in there and customize for whatever you decide. Oh, perfect. So I can save up to 4% from gold and the trophies and all that stuff. And you guys can handle that operational charge. Maybe our LP is different than other LPs. Yep. Okay. Yeah, we do the other private placements with a number of firms, so that's a pretty easy one. Okay. And then what happens? What's the idea in terms of raising the $200 million? Do we have the total? When does that stop? Yeah, so we've got a six-month window with two 90-day extensions. We've structured this where we can close and continue raising capital. So I think ideally we'd like to get our, you know, first deal done before the end of Q3. So we're kind of off to the races. But we've got, you know, up to a 12-month window to get there. But, you know, we'll start now and we'll just go as fast and as hard as we can. Okay. All right. You want to talk about a couple of deals maybe? Yeah, happy to do it. Happy to do it. I'll touch on Silicon Drive. That is Paige. Go ahead. So this is a deal. It actually is coming to IC for a pre-development approval tomorrow. Opportunity we really like. Research Triangle, North Carolina, so, you know, one of the fastest-growing regions in the country. Market is super, super tight, you know, sub-4% vacancy for logistics. And part of that is because you have so much, you know, that kind of proliferation of life sciences in this sub-market that a lot of the space that would traditionally be used for logistics has been converted to life sciences space. Site was previously under contract with another developer. They weren't able to get power to the site, the requisite power to build the 800,000-square-foot project that's conceptualized here. We stepped in when they dropped it at a lower basis. You'll see the IBM flag on the lower graphic. The IBM building is an asset owned by the REIT, and so we structured an easement to run the necessary power through the site the REIT owns to power the site here. So kind of one of those unique opportunities, one of those unique situations in which having a footprint in the market has unlocked this location. And this is like, I mean, this is like ultra-core logistics, right? So you look in the micro-market around us. It's, you know, it's Prologis. It's Link Logistics, which is Blackstone's operating company. It's, you know, large institutional owners of industrial facilities feel really good about the execution here. The way we kind of describe it is it's like if it takes the stars aligning to unlock the physical real estate, that's usually a pretty good, you know, sign for successful execution. And we think we feel pretty good about getting this deal done here. This is an October-November construction start. So you're saying that somebody else had it under contract but couldn't get power? Yeah, they couldn't get the requisite power from the city. Yeah, they couldn't figure out a way to power the site to operate 800,000 square feet of logistics. They'd gone back and forth with the city, and they weren't able to get it. And so we were able to structure an easement that'll run through the, kind of from IBM, the IBM campus to the backside of our building here. I love that we didn't give it to them. Yeah, well, why would we do that? So this is, you know, this is one we're pretty excited about. Oh, okay. Hey, talk to Omar. He's got the power of the site. I mean, make sure you get this deal. Yeah, yeah, yeah, yeah, that's true, that's true. It's one we like. We'll hit Space Coast as well. So Space Coast Innovation Park, this is a development opportunity proximate to Cape Canaveral. So there's, you know, this kind of SpaceX, Blue Origin, Space Exploration, kind of a budding industry. And they all kind of draft off of NASA and what's going on there. They all have a desire to be proximate to Cape Canaveral, and there's just not kind of like what we would consider to be like class A new logistics facilities to like meet the needs of these guys. So we tied this up. It's a three phase project. This would be phase one. We'd be developing, you know, kind of delivering this advanced manufacturing for with the kind of targeted Blue Origin or SpaceX. Those are the tenants that kind of dominate this market. You'll see kind of in the bottom right hand corner, you've got Lockheed and Boeing and those folks in the market already. Our core fund bought in this sub market last year. So again, you know, a lot of one of the benefits of Hines is we've got this big national footprint. Like we're able to see markets, understand how markets move, because in most places we either have a footprint now or we've owned or invested there previously. So another opportunity that we've got on our pipeline that looks pretty interesting. A lot of there was a I can pass along. There's a Wall Street Journal article about all the capital that's flowing into this kind of space exploration subsector that's emerging right now. But another deal we're excited about is potential opportunity for the for the fund. This one is this one is it's three phases. I think we're, you know, the second half of Q3. I talked to Ryan Wood about it last week. I think they are close on this from a design standpoint, you know, seeking LP capital to go to jump in with them. I like if I had to pick between the two, I think I like the other deal a little bit better just because it's more core. But both of these, I think, are, you know, the types of logistics bets we'd be looking to make in the fund. OK. We can talk pipeline quickly. Yeah. I mean, I think the pipeline is useful. I'm trying to think through. So the relationship between the city and this. So they've raised their money. They're raising. Right. Right now. Right. So they'll have their couple hundred million bucks or whatever done by, I guess, this kind of going alongside each other. Yeah. So we're thinking about these things as moving in parallel. It's not like city gets done. You guys start and then this one comes in later. No, I think we're moving in parallel right now. Yeah. In parallel. OK. They're not going to take all of their deals. They have to have some matching capital on the other side. They're not going to take all of their deals? They wouldn't take 100% of the deal. Right. They're going to take max half. OK. Got it. So there has to be capital in every one of these deals on the other side that match their capital. Got it. OK. Which would come from the fund. Got it. So then if they raise money faster than this fund, then they just would have to wait. Right. Yeah. That's right. Yeah. We don't think, because we're getting into the summer, it's just a little guidance from city. They think it will be slow uptake, that you might get some early and then you're going to get some late. Right. So as you get into the third quarter, they think most of the commitment is a lot. This is a commitment, right? They're not actually subscribed. They're not actually sending money in. Sure. OK. They're actually just saying, we're going to do, you know, honey, we're the best. We'll commit $10 million to 10 deals or whatever. Right. And so then they got to go back. And they do still have the chance to opt out of those deals. Because they're going to look at every deal and have a chance to opt out or opt in. Got it. And this is drawn on structure and all? Yes. It is. Quarterly. OK. Got it. So the way we're trying to kind of keep this as simple and straightforward as possible. So we'll draw once a quarter on the same day each quarter with, you know, two weeks notice for the investor. So it's well in advance of actually needing to make the draw. OK. While we're talking about terms really quickly, it's been a while since we had this conversation. But thinking about the Ameriprise, like the one-to-one structure, we ran it through the model. And if 15 is the target net, the 401 structure would get 13.5. So just want to make sure that's still, you think, in the ballpark for returns. I mean, we probably would have said mid-teens returns anyway. So we don't want to put a target return on the offering documents at this level. Like, for keeping funds, we've been a little bit more flexible. But we'll get asked, right? So it would be a cost-benefit. Mid-teens. Mid-teens is what we've been. That's what we're aiming for. And I'll just go back because we had another deal that you get – this was in our – right down the street from my house. You get below 15. You get into the 10 to 12s. And it goes nowhere. You get teens, specifically 15-ish. Then it gets interesting. That just blows my mind because it's, like, enormous. Yeah, I mean, we're talking 150 basis points on a two-year – yeah. I think it's, who knows, but I can get a 10 yield on this. Yeah, yeah, that's true. So I'm going to take my 10 and not worry about that extra two to three. I just want to make sure that we're going to – as we go down the path, we can sell it, right? Because it makes so much sense now, right, as long as tariffs don't get in the way and all that. But in three years, you're going to want to have projects coming out of the ground because you're going to be all alone. There's not going to be anybody. Right, yeah. But we've got to be able to sell it today. So is that return, if it's 13.5, is that return going to be okay with the buyers? I think that's the question. And in broker-dealers, it may be because they don't see as many deals as RIAs see. RIAs, you've got to have much higher return because they see everything, and they see some bad stuff, and they don't know. But they're like, oh, well, why would I do a year 15 when I can do a year 19? I mean – If they're seeing stuff that your guys are shutting down, because, you know, it's sketchy. Yeah. I mean, sure. I wouldn't worry too much about it. There is a scarcity when you don't see many private dealers, right? That will really happen. I mean, we've got one on the platform right now. We're doing the broker-dealers strategic real estate partners with Peter. That will be done next month. But a lot of interest in their traffic returns on 15-ish. 15? Mm-hmm. And that's an opportunity. That's not development. That's just a purchase. It's an opportunity, yes. They're not going – it's unlikely they'll do anything ground up. I think what their take is that they can find plenty of opportunities just with distressed sellers, because everybody's got that country. What to do with it is they can find good properties at really attractive prices. They can develop. I mean, it's possible that they will, but unlikely. What's the term? I mean, it's a traditional trot-on fund, so it's a 10-year deal, but it'll be – Oh, wow. 10-year deal? Yeah, but it'll be – 10 years means the last dollar is out, right? Right. It's not a bumpy – It's not a bumpy – yeah, so it'll just – Is that seven or eight? What series are they on now? It's five. Five for that one. They have other predecessor funds as well, but in that particular series it's five. But I mean, even their track record is mostly like – it's all 10 to 20-ish types of returns on their people. And they're all 10 to 67. Oh, yeah. In the series. They've had a couple that, like they did their vintage from 09 was nuts. It was like 38 or something like that. The others have been a little bit more muted from the public's perspective than what they do. They're just fine. Mm-hmm. So. I'm in for it. Are you? That's good. So you know the story. I know the story. Pretty good. Yeah? You didn't have enough real estate experience? Yeah. There's a little bit more. I need to dig a little bit more. I can arrange something. You're asking for location. You didn't close it. Huh? You didn't close it. It wasn't my fault. We wanted to explore it. I was hoping you were going to help. I wanted that finder's fee. Okay. Any sense in terms of who's going to sign off? Like small? Anybody big? What are you going to do? Yeah, there's a lot of general interest. And we didn't really want to go full speed until we had the prospectus. So it's being undone? Yeah. Now that that's done, we'll be. We learned from you not to go out and start talking too early. Because we realize sometimes these things take a little longer than we expected. But Satara is very engaged with us and wants to participate for sure. So I think we'll wind up as a player. And I know that Sean's talking to several. Mosaic? Mosaic, LPL. Dotcom? Well, Dotcom. We'll see that. There's also some large RIAs that are interested. The fact that you can't have Morgan Merrill RBC. There's some groups that won't be able to get Morgan. Yeah, that's fine. And then there's definitely some overseas interest as well. Okay. There's some family office interest. Yeah. Okay. So it's broad. I still think with all the headlines it won't be an easy race. 22. Yeah, and how do you talk about that every day? Yeah, I mean, we're hearing about it a lot. And I think that we're getting the question a lot. And I think kind of at its most basic, with the 150% tariff, there isn't a real estate deal that pencils. There isn't a whole lot of anything that pencils. That being said, as these things kind of pare back, a 10% tariff, what we call value engineering, we're able to, number one, diversify supply chain, try to get to lower cost alternatives, right? Whether that's steel or concrete or going to markets where we can get more favorable pricing. And then when we get GC pricing, we've got a group that's like our conceptual construction group there. The whole job of the team is to kind of de-risk and make sure our projects stay on budget. We can value engineer to kind of get to a place where we've nipped around the edges to still deliver a product that's in line with Heinz quality. That's not going to bust the budget. So they're working overtime right now. They've presented on our last call. We have like a Monday morning strategy call. They've presented a couple times over the last several months, providing updates on cost of glass, how we're reducing our cost risk in deals. We're still getting things done. I mean, I think for us, getting to a place where the conversation isn't bouncing around so much is probably most important. You know, it's big tariff here, no tariff here, like just getting a level of consistency. But we feel pretty good about navigating the moment. Like Heinz is 70 years old. We've seen a few cycles. Like we can manage some cost risk. We've been able to do so in the past. So feel pretty good about them. And frankly, you know, thinking about doing a deal with Heinz with, you know, our vertical integration versus an allocator who's going to, you know, partner with an opco that may not have the sophistication of a Heinz, I think you'd say in this moment you'd rather be with the vertically integrated shop. So we feel pretty good about how we're navigating it in the moment. Yeah, and I know that this is the type of stuff that we want. Yeah, yeah. I think just the question that, well, and I don't know how we could, like what you have that might be able to help support this. But, for example, I've looked at like some of the OZ funds that we've done. You know, their projects are costing more than we thought they were going to cost. So that may have a potential impact. I think a lot of them are fine, but certainly returns are unlikely to be in line with what they originally thought we were raising at these commodity nodes. So it would be that combined with the fact that their leverage assumptions, which is complete, are different now. So it might be interesting, and this will be probably more for Biden during the process, just to kind of get some recent data, like over the last, you know, call it year and a half, two years of stuff that you guys have finished. What is your observation? Yeah, yeah. How much more have you had to pay? Yeah, and happy to provide it. Yeah, yeah. I mean, I will say, you know, there are, we talk about one of the terms we use is kind of like yesterday's math versus today's math, right? There were a bunch of deals that were in diligence and things that were tied up in 2022, where you look at the basis in the land, the construction costs, and the concept, and those are, they no longer pencil, right? And so when you look at our pipeline, I think one point to make is all of this stuff is kind of reset, is reflective of post-interest rate rise. You know, the tariff thing is real time, but think about this as being reflective of, you know, kind of activity and what's taken, what's transpired from a debt capital market standpoint within the last 12 months. So this is kind of reflective of where we would underwrite these deals, interest rates, we would expect to get from lenders if we were to go out and seek financing tomorrow. Certainly, when we, our expectation is that we're bringing these deals to the fund when they've been what we would call de-risked, right? So they're effectively shovel ready, we've got a GMP in place, we have our, you know, construction cost number. So, you, and that's typically the way most of the stuff we've done as private placements has been structured, where we're not bringing a deal to you before we know we've got a contractual construction price. And so that's the expectation here. So if the returns don't make, the deal won't go in the fund, right? But we feel like we can navigate that, the friction there in this moment. Okay. And then on this pipeline, this might be a hard question to answer, but like, how solid do you think this is in terms of what is likely to make it to the fund? Yeah, I mean, that's a great question, because there's probably, these are, I think it's 10 deals, we've got probably another 10 deals we're also tracking that are, you know, of similar profile. You know, you'll see the first four here say that they're, you know, Heinz controlled opportunities. So those are deals that are going to get done. Now, for us, the returns need to kind of hit what we're underwriting for the fund, right? And so if, I think the question there is, you know, once we clear zoning entitlements, it's the deal's shovel ready, does it still hit the benchmark, you know, the 15 net to the investor we're aiming for? If it does, we're going to, you know, flag it as something we'd like to put in the fund. If it doesn't, we're going to pass on it, right? I mean, that's kind of how we're navigating here. So I think there's a chance, you know, I think a decent portion of this will be actionable. Some of it will, some of it may fall off as it doesn't, you know, clear zoning entitlements. Some of it may, you know, take a step down, the returns fall shy of what we want. But I think this is a good profile. You know, these markets, these types of deals, I think that's a good profile for what we would expect to be in the fund. You're not going to see, you know, like, you know, a bunch of tertiary markets where we're showing here kind of, you know, the top 20. Like, this is a good profile for what we'd like to do. There's probably two or three more Chicago multi-deals that we're tracking right now. There's a couple more industrial deals in the southeast, one in Charleston, one in, I think it's suburban Atlanta. But, you know, even if it's not exactly these deals, it's going to feel and look like the stuff we're profiling here. Okay. Can you talk about, like, how they're going to get allocated to the markets in the firm? Yeah, so the way our kind of, we've got, you know, Monday mornings we have a pipeline call. Things that we like, I'll flag and say this is, you know, this aligns with what we'd like to do. We feel like this is a good fit for the fund. From there, we'll underwrite it in partnership with the deal team on the ground that sourced the deal. We'll kind of work on it hand in hand. We have Heinz Global, you know, thinking of our other discretionary capital. We have Heinz Global. We also have our Institutional Core Plus Fund. Heinz Global doesn't really develop. It's income focused. Institutional Core Plus Fund does have a sleeve they can do, like, allocate maybe 20% of their capital to development. But they tend to be a long-term holder, right? They're developing, you know, build to core type strategy. So as far as discretionary capital seeking, you know, opportunistic outcomes, we've got a pretty good runway. It's just making sure the returns stack up and, you know, we like the deals, right? I mean, that's kind of the focus. We feel pretty good about putting this stuff into the fund to the extent it makes. Okay. Well, I think, I think that's it, you know. I feel good about the pipeline. Like I said, we'll send the PPM, the pricing supplement, and the valuation policy over today. Yeah, we'll put all that on the online due diligence portal that we have. We'll get in touch with Byron to start working out really his timeline and capacity. We know he's always overworked and working on other important things like Matrix 7, et cetera. So we'll start with finding the appropriate schedule for putting this. Yeah. Now that everything's done. The good news is, is like we're faster on this versus doing like a brand new fund that none of you guys want. We don't have to go through all of that work. We've done contracts before. I'm not worried about us getting an agreement in place. You're already unsubscribed. So the things that can take time are not going to be issues with this, but there will still be. These will need to figure out like are you guys doing, is there a third party report on this one? Planning for one? Yep. We need SK. SK. We discussed that with Byron and he asked for SK versus some of the other stuff. I didn't ask for SK. Yeah. And then now since that time, he's got other, you guys have other resources that we might want to be working on.</w:t>
      </w:r>
    </w:p>
    <w:p>
      <w:pPr>
        <w:jc w:val="left"/>
      </w:pPr>
      <w:r>
        <w:rPr>
          <w:rFonts w:ascii="Monaco" w:hAnsi="Monaco"/>
          <w:sz w:val="22"/>
        </w:rPr>
        <w:br w:type="page"/>
      </w:r>
    </w:p>
    <w:p>
      <w:pPr>
        <w:pStyle w:val="Heading2"/>
        <w:jc w:val="left"/>
      </w:pPr>
      <w:r>
        <w:rPr>
          <w:rFonts w:ascii="Monaco" w:hAnsi="Monaco"/>
          <w:sz w:val="22"/>
        </w:rPr>
        <w:t>Section 2, recording time between 0:30:00-1:00:00</w:t>
      </w:r>
    </w:p>
    <w:p>
      <w:pPr>
        <w:ind w:firstLine="720"/>
        <w:jc w:val="left"/>
      </w:pPr>
      <w:r>
        <w:rPr>
          <w:rFonts w:ascii="Monaco" w:hAnsi="Monaco"/>
          <w:sz w:val="22"/>
        </w:rPr>
        <w:t>so we should talk about what Tommy's gonna look like for an SK. This might be a good first project for our new guy. Do you actually have SKs? Yeah, I've got them. And then, like if we were to send you guys in RFI, I assume there's not like a standard DEQ or something for this? We have a standard DEQ. Do you? Yeah. Is it done? Almost, we're waiting for the final PPM. Yeah, we've got a lot of time, so yeah. We've got a lot of time, so yeah. We've got a lot of time, so yeah. We've got a lot of time, so yeah. We've got a lot of time, so yeah. We've got a lot of time, so yeah. We've got a lot of time, so yeah. We've got a lot of time, so yeah. We've got a lot of time, so yeah. We've got a lot of time, so yeah. We've got a lot of time, so yeah. We've got a lot of time, so yeah. We've got a lot of time, so yeah. We've got a lot of time, so yeah. We've got a lot of time,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 So, yeah.</w:t>
      </w:r>
    </w:p>
    <w:p>
      <w:pPr>
        <w:jc w:val="left"/>
      </w:pPr>
      <w:r>
        <w:rPr>
          <w:rFonts w:ascii="Monaco" w:hAnsi="Monaco"/>
          <w:sz w:val="22"/>
        </w:rPr>
        <w:br w:type="page"/>
      </w:r>
    </w:p>
    <w:p>
      <w:pPr>
        <w:pStyle w:val="Heading2"/>
        <w:jc w:val="left"/>
      </w:pPr>
      <w:r>
        <w:rPr>
          <w:rFonts w:ascii="Monaco" w:hAnsi="Monaco"/>
          <w:sz w:val="22"/>
        </w:rPr>
        <w:t>Meetings Notes by Dana</w:t>
      </w:r>
    </w:p>
    <w:p>
      <w:pPr>
        <w:ind w:firstLine="720"/>
        <w:jc w:val="left"/>
      </w:pPr>
      <w:r>
        <w:rPr>
          <w:rFonts w:ascii="Monaco" w:hAnsi="Monaco"/>
          <w:sz w:val="22"/>
        </w:rPr>
        <w:t>They agreed that if one wishes to perform at a certain level, then performance must meet that level. They decided that it was necessary to discuss the requirements—a topic on which they already had questions. They had mentioned the need for appraisals during the construction period; however, they clarified that it was not necessarily appraisals but rather establishing a value. In their view, it was different because they did not have to pay someone to assess “this half-built bunch of sticks” to determine its value. Instead, they simply needed to reflect a certain value as part of the structure. For the other side of the arrangement, they planned to effectively carry a cost. After twelve months and upon substantial completion, they would obtain an actual third-party appraisal, provided the asset was not being marketed for sale, as documented in the agreements.</w:t>
        <w:br/>
        <w:br/>
        <w:t>They noted that the city had requested an appraisal for twelve months after construction commenced—or rather, twelve months after substantial completion—and had also inquired about the value during construction. They confirmed that they would be carrying that cost during construction. However, they needed to clarify with Byron whether the proposed approach, which appeared similar to previous arrangements (essentially cost plus fees), would be acceptable. They mentioned having a valuation policy ready to share in order to gain a quick thumbs up or thumbs down, and agreed that Byron should review it. It was acknowledged that the situation was similar to previous projects, albeit with the complication that it is challenging to establish the final value of a project under construction until it nears substantial completion.</w:t>
        <w:br/>
        <w:br/>
        <w:t>They emphasized the importance of committing to performing third-party valuations after the projects are complete, as stipulated in the policy. They also discussed a potential time-bound aspect to address projects with extensive cost overruns or those that were not progressing toward completion. Their plan was to perform a third-party appraisal at substantial completion and then annually thereafter, with some additional language suggesting that no project should extend its appraisal timeline beyond four years after construction commenced in case it was not progressing as expected.</w:t>
        <w:br/>
        <w:br/>
        <w:t>The timeline for the overall process was expedited. They were already in discussions with the bank and had two marketing calls scheduled that day. They had received a full PPM the previous night and were awaiting compliance review. They intended to package the valuation policy and related documents and send them immediately. The pricing supplement was also ready to be customized as needed, and they mentioned that it could potentially allow them to save up to 4% on fees and trophy-related expenses, with operational charges managed by their LP, which may differ from other LPs.</w:t>
        <w:br/>
        <w:br/>
        <w:t>Regarding raising $200 million, they explained that there was a six-month window with two 90-day extensions available. The structure allowed for closing transactions while continuing to raise capital. Ideally, they planned to finalize the first deal before the end of Q3, though they had up to a 12-month window to complete the process. They were prepared to act swiftly and aggressively.</w:t>
        <w:br/>
        <w:br/>
        <w:t>They then discussed a couple of deals. One was Silicon Drive, which was slated for a pre-development approval at the Investment Committee meeting the following day. This opportunity in North Carolina’s Research Triangle was attractive due to strong market growth and extremely low logistics vacancy rates—sub-4%. The site had previously been under contract with another developer who could not secure the requisite power to build an 800,000-square-foot project. Their team stepped in when the previous developer dropped the project at a lower basis. The IBM building on the property is owned by the REIT, and an easement was structured to run the necessary power through the REIT-owned site to power the project. They saw this as a unique opportunity in ultra-core logistics, noting that the surrounding micro-market featured assets owned by Prologis, Link Logistics (Blackstone’s operating company), and other large institutional industrial owners, which boded well for successful execution. The planned construction start was in October or November.</w:t>
        <w:br/>
        <w:br/>
        <w:t>They also discussed another deal related to the Space Coast Innovation Park, a development opportunity near Cape Canaveral. This project was aimed at advanced manufacturing tenants, including those like Blue Origin or SpaceX, as well as established players like Lockheed and Boeing already present in the market. Their core fund had invested in this sub-market the previous year. They noted that having a broad national footprint allowed them to understand market movements and identify opportunities, even when reports such as a Wall Street Journal article highlighted significant capital flow into the burgeoning space exploration subsector. Another potential deal was mentioned—a three-phase opportunity expected to close in the second half of Q3. Though one of the deals seemed more "core" than the other, both were in line with the type of logistics investments planned for the fund.</w:t>
        <w:br/>
        <w:br/>
        <w:t>They clarified that these projects would progress in parallel with other initiatives. The city’s financing efforts and the fund’s capital raising were designed to align, meaning that not all deals would be taken 100% by the city; instead, the city would participate on a maximum half basis, with additional capital coming from the fund. If the city raised money faster than the fund, there would simply be a wait, though uptake was expected to be gradual—some early commitments followed by larger commitments later in the third quarter. The commitments discussed were non-binding until actual funds were subscribed, as investors would have the opportunity to opt in or out on a deal-by-deal basis, with capital draws occurring quarterly on a predetermined schedule with two weeks’ notice.</w:t>
        <w:br/>
        <w:br/>
        <w:t>In terms of returns, they revisited a previous discussion comparing a one-to-one structure with the 401 structure. Under current assumptions, a target net return of 15% would compare to approximately 13.5% for the 401 structure. They noted that mid-teens returns were their aim, and although there was some debate regarding premiums (for example, receiving 10% versus 13.5% in yield), the consensus was that achieving 15% net was challenging but attractive. They recognized that brokers and RIAs might have different return thresholds given differing market exposures.</w:t>
        <w:br/>
        <w:br/>
        <w:t>They also touched on various pipeline details, discussing potential allocation of deals across the firm. The process involved weekly pipeline calls during which promising deals would be flagged for further underwriting by the respective deal teams. They referenced other funds within the organization, such as Heinz Global and the Institutional Core Plus Fund, that could contribute discretionary capital; however, each fund had its focus, with Heinz Global being income-focused and the Institutional Core Plus Fund being oriented toward long-term core-plus strategies. They were confident about eventually including these deals in the fund, provided the returns met their benchmarks.</w:t>
        <w:br/>
        <w:br/>
        <w:t>Finally, they noted that the PPM, pricing supplement, and valuation policy would be delivered via an online due diligence portal, and they planned to coordinate with Byron regarding his timeline and capacity (acknowledging that he often had a heavy workload, including commitments like Matrix 7). They highlighted that this process would be faster than launching an entirely new fund because previous contractual frameworks were already in place. They acknowledged that third-party reports might be required—for example, an SK report was being considered per discussions with Byron—and that additional resources might be necessary.</w:t>
        <w:br/>
        <w:br/>
        <w:t>Overall, they felt positive about the pipeline and were prepared to move forward with finalizing agreements and submitting the necessary documentation.</w:t>
      </w:r>
    </w:p>
    <w:p>
      <w:pPr>
        <w:ind w:firstLine="720"/>
        <w:jc w:val="left"/>
      </w:pPr>
      <w:r>
        <w:rPr>
          <w:rFonts w:ascii="Monaco" w:hAnsi="Monaco"/>
          <w:sz w:val="22"/>
        </w:rPr>
        <w:t>They discussed the proposed structure of Tommy for an SK, suggesting that it might be an ideal first project for their new employee. One participant asked if they actually had SKs, and the respondent confirmed that they did. Another asked if, when sending an RFI, there was a standard DEQ available for this. The respondent verified that a standard DEQ existed and noted that it was nearly complete, pending the final PPM. They also mentioned that there was ample time to address any remaining details.</w:t>
      </w:r>
    </w:p>
    <w:p>
      <w:pPr>
        <w:jc w:val="left"/>
      </w:pPr>
      <w:r>
        <w:rPr>
          <w:rFonts w:ascii="Monaco" w:hAnsi="Monaco"/>
          <w:sz w:val="22"/>
        </w:rPr>
        <w:br w:type="page"/>
      </w:r>
    </w:p>
    <w:p>
      <w:pPr>
        <w:pStyle w:val="Heading2"/>
        <w:jc w:val="left"/>
      </w:pPr>
      <w:r>
        <w:rPr>
          <w:rFonts w:ascii="Monaco" w:hAnsi="Monaco"/>
          <w:sz w:val="22"/>
        </w:rPr>
        <w:t>Meeting Summary</w:t>
      </w:r>
    </w:p>
    <w:p>
      <w:pPr>
        <w:jc w:val="left"/>
      </w:pPr>
      <w:r>
        <w:rPr>
          <w:rFonts w:ascii="Monaco" w:hAnsi="Monaco"/>
          <w:sz w:val="22"/>
        </w:rPr>
        <w:t xml:space="preserve">• Agreement reached that performance must meet the designated level; discussion focused on requirements, especially regarding appraisals and establishing an appropriate value during construction.  </w:t>
        <w:br/>
        <w:t xml:space="preserve">• During construction, instead of formal appraisals, they will reflect a target value in the structure and carry the associated cost; a third-party appraisal is scheduled for 12 months after substantial completion if the asset is not marketed for sale.  </w:t>
        <w:br/>
        <w:t xml:space="preserve">• They plan to perform third-party appraisals at substantial completion and annually thereafter, with a strict timeline ensuring no appraisal extends beyond 4 years from construction commencement.  </w:t>
        <w:br/>
        <w:t xml:space="preserve">• There’s a need to confirm with Byron whether the proposed "cost plus fees" valuation approach is acceptable; a valuation policy is ready to be shared for his review.  </w:t>
        <w:br/>
        <w:t xml:space="preserve">• The timeline is accelerated: discussions with the bank are ongoing, two marketing calls were scheduled for the day, a PPM was received the previous night, and compliance review is pending; documents (including the valuation policy and pricing supplement) are to be packaged and sent immediately.  </w:t>
        <w:br/>
        <w:t xml:space="preserve">• The pricing supplement is customizable and has the potential to save up to 4% on fees and trophy-related expenses, with operational charges managed by their LP, which may differ from others.  </w:t>
        <w:br/>
        <w:t xml:space="preserve">• Capital raising target is $200M with a six-month window, extendable by two 90-day periods (up to 12 months total); the plan is to close the first deal ideally before the end of Q3, while closings can occur concurrently with ongoing capital raises.  </w:t>
        <w:br/>
        <w:t xml:space="preserve">• Deal details include:  </w:t>
        <w:br/>
        <w:t xml:space="preserve"> – Silicon Drive in North Carolina’s Research Triangle, aiming for a pre-development approval at the Investment Committee meeting the following day; the property features extremely low logistics vacancy (&lt;4%), a previous 800,000 sqft project dropped by another developer, and an arrangement with a REIT-owned IBM building for required power easement.  </w:t>
        <w:br/>
        <w:t xml:space="preserve"> – Space Coast Innovation Park near Cape Canaveral targeting advanced manufacturing tenants (e.g., Blue Origin, SpaceX, Lockheed, Boeing) with prior sub-market investments made by the core fund; an additional three-phase deal is expected to close in the second half of Q3.  </w:t>
        <w:br/>
        <w:t xml:space="preserve">• City financing and fund capital will align such that the city participates up to 50%; capital commitments will be gradual, transitioning from early small commitments to larger ones later in Q3, with non-binding investor commitments until funds are subscribed and quarterly draws announced with 2-week notice.  </w:t>
        <w:br/>
        <w:t xml:space="preserve">• Return targets were discussed: a 15% net return is the aim compared to about 13.5% for a 401 structure, with the understanding that mid-teens returns are attractive despite premium debates (e.g., 10% vs. 13.5% yield).  </w:t>
        <w:br/>
        <w:t xml:space="preserve">• Additional pipeline details include weekly calls for flagging deals for underwriting by various teams; other internal funds (Heinz Global focuses on income, Institutional Core Plus on long-term core-plus strategies) may allocate discretionary capital if benchmarks are met.  </w:t>
        <w:br/>
        <w:t xml:space="preserve">• Documentation (PPM, pricing supplement, valuation policy) is to be shared via an online due diligence portal; coordination with Byron is planned despite his heavy workload (e.g., Matrix 7 commitments), leveraging existing contractual frameworks for a faster process than launching a new fund.  </w:t>
        <w:br/>
        <w:t xml:space="preserve">• Discussions also covered an SK project structure proposed for Tommy, with confirmation that SKs and a nearly complete standard DEQ (pending final PPM) are available, and ample time exists to resolve remaining details.  </w:t>
        <w:br/>
        <w:t>• Overall, confidence is high regarding the pipeline, with plans to finalize agreements and swiftly execute documentation submissions.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