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January 21, 2026, total duration (32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We originally the deal delivered in May of 2024. I think that the big news is as you mentioned, you know, Sonder the short the long-term stay platform filed for bankruptcy fee in Q4 of last year. They officially filed for chapter 7 in November. They leased 94 units from us at the project under a kind of master lease structure. So with a five-year term with their filing of bankruptcy, they are have effectively vacated the building. I think it is of note, you know, this was the ultimate decision to file for bankruptcy at Sonder was not specifically, you know, due to any performance issues at this location. So we actually kind of from a business plan standpoint, the we were performing well in our Sonder units. I think kind of historic average occupancy was somewhere around 92% for those units. So we've done well in terms of uptake and utilization as it related to the business concept. Sonder formed a partnership with Marriott. Marriott was providing a substantial kind of liquidity to the business. And I think just across the country, I think they've grown rather quickly. And, you know, the investments they made have not materialized as designed. So as it relates to kind of our current plans, we evaluated the prospect of kind of bringing in another short-term rental platform to step into the space. If you think about the units, we're kind of full of FF&amp;E furniture, fully out, move right in. Our ultimate decision was to backfill these units at market rate. So we are in the process of kind of prepping these 94 units to go to market, to be marketed as, you know, kind of truly for rent offerings. So I think one thing that's important and part of the reason we made the decision to do so. Hey, Sam, how are you? Hey, Will. Sorry I'm late. No worries. No worries. We were just kind of catching up on North Loop Green. So, you know, Sonder filed for bankruptcy. We are in the process of preparing the units they gave back. They gave back 94 units as part of that exercise. We're in the process of prepping those units to be leased at market rate. Part of what we looked at, the prospect of other operators, short-term rental companies, stepping into that space. Our view is that from a long-term kind of tenancy profile, we like the idea of having those rented to individual users as opposed to doing another kind of enterprise level lease. I think, Will, it's important to note that the lease we had with Sonder is more of like a, I'll call it a master lease structure with a guaranteed stream of payments. And most of these short-term or I'll call it hoteling operators operate on a revenue share model as opposed to, you know, getting into long-term master leases and then going out and doing the short-term rental. So our thought is just the best course of action is to take the units back, rent them all at the market rates. Will mentioned the FF&amp;E. Obviously, all the units were furnished. We've been working with the bankruptcy court to determine the path forward there. I think we found a solution with another third party that may want to take the FF&amp;E on some of the floors. We're also assessing keeping some of it on a couple of floors to market fully furnished units as kind of a test case. So I think the focus, you know, the beginning of this year coming through the middle of the year is to take the market. Our projections now reflect us, I'll call it getting back to fully stabilized by call it early to mid-summer. I think the good news here is most of these units while on the lower part of the stack are heavily weighed towards the studio and one-bedroom units, which we've seen quite a bit of throughput on. So obviously not great news, but in light of the circumstances, I think, you know, this is the best thing for the project both kind of on a run-rate operating standpoint and then, you know, from a future liquidity standpoint. Obviously, when you have a significant slug of your units that are, you know, leased out to either a corporate rental agency or a hoteling operator like this, there's, you know, can be some perception of a, you know, exposure here. But I think we'll get through this. Absent of that, leasing at the multifamily stack has continued to perform very well. We've, you know, maintained above 90%, kind of hovering in the low to mid 90% leased and occupied percentage. So performing very well there. Okay. And I guess overall business plan for this asset, how does the Sonder news impact kind of liquidity projections or deterred projections for Northwood Grand moving forward? Yeah, obviously a blip. It's a bit to be determined what the impact is on a kind of an, I'll call it an operating cash flow basis. That'll be predicated on, you know, how quickly we can reabsorb the units. You know, the intent here is to get it back stabilized and then look to sell either the entire project inclusive of the office or, you know, some type of parcelized interest potentially. That's to be determined at this point whereby we'd sell, you know, the multifamily separate from the office component. But that plan is still in the works there. So obviously the Sonder blowing out is not great news, but to be determined. I think you've got to that balance, I'll call it the, you know, several month operational blip and leasing lift with, you know, from where I sit, the lack of, you know, I'll call it headwinds when you go to market, the multifamily component by not having 90 plus units leased to a singular, you know, master lessee. So to be determined at this point, but I do like the prospect of having a fully market rate, you know, or a traditional multifamily asset to sell through to the market. On the office side, we're hovering right at 70% lease. Obviously our major tenant, Piper Sandler, they're moved in. Things are going well there. We did see an uptick in activity on the office leasing front at the end of the year, have several live prospects interested in space. And I think at least from where I sit, we've got, you know, a path to get to the mid-70s occupy, pushing above 80% occupy there. Obviously office, the office environment broadly is a bit challenged. That being said, we do see, you know, very good name brands with interest in the projects, you know, good touring activities. So I'm heartened by the fact that, you know, during the holidays, there was, you know, good leasing, you know, and touring velocity at the project. As far as expectations to stabilize, my sense is it's going to take just a bit to get us kind of above, I'll call it a 90% marker, just for lack of a better way of putting a precise number on stabilized occupancy. But I do feel like that there's a path to get there. And so we'll spend this year, you know, focused on the multifamily side, getting the leasing profile of the office perfected as best we can, all while, you know, assessing what a liquidity scenario may look like, whether that's taking everything out as one or, like I said, parcelizing it or selling a condo interest in each. Yeah, we do have the ability to sell the office tower without the multi and vice versa. So that is a potential outcome as well. All right. We'll send Sam's out and let's pivot a little bit. Let's just get an update on kind of where things sit with direct access, kind of the timing, selling syndicates, stuff like that. Yeah, so we are officially all docked, finalized. We are in the market having these types of diligence conversations. I think as it relates to, you know, thinking about our first close, we're probably thinking about June, July. We're kind of, and that's kind of a two-pronged thing. We're looking for that first opportunity that we think will be the, you know, a great brochure-worthy investment opportunity aligned with that first close to kind of gin up a bit of enthusiasm there. But so far, so good. Really positive feedback to the concept. Feel like we're making progress. Jeff is maybe best suited to give some visibility into the other folks that are currently evaluating the offering. Sure. Hey, guys. Hey, Sam. Good to see you, man. I made my beard jokes earlier, so I won't repeat them. But one of the joy of the game. But yeah, so obviously, clearly we've been talking to you guys for quite some time. Same boat with Cetera. And then Sean Vaughn's working closely with LPL Commonwealth, Ozeik, a small firm, DFPGX has already signed. And then countless RAs are looking at this from the retail side as well. But those are the big players on the independent space that we're talking to. You plan on having any wires involved in this form or larger journals? Will, I may pitch that one back to you. I'm not sure who all. Yeah. So there is a, I don't know if you guys have, so there are some larger RAs that we're sharing this with. From the private banking side, I don't know that we're going to have, you know, like we've got this, we've been working on the strategic partnership with Citi. I don't know that they'd be participating on the direct access partner side. Their participation will most likely be more on the club side of this. They've limited quite a bit who they want us to play with in this one. And so anyone that's kind of a competitor to them has been kind of scratched off the list since some wires. OK. So in July, first close, and then kind of concretely, Will, the program runs roughly two years from first close to kind of wrapping up fundraising. Is that right? It's a little shorter</w:t>
      </w:r>
    </w:p>
    <w:p>
      <w:pPr>
        <w:jc w:val="left"/>
      </w:pPr>
      <w:r>
        <w:rPr>
          <w:rFonts w:ascii="Cambria" w:hAnsi="Cambria"/>
          <w:sz w:val="22"/>
        </w:rPr>
        <w:br w:type="page"/>
      </w:r>
    </w:p>
    <w:p>
      <w:pPr>
        <w:pStyle w:val="Heading2"/>
        <w:jc w:val="left"/>
      </w:pPr>
      <w:r>
        <w:rPr>
          <w:rFonts w:ascii="Cambria" w:hAnsi="Cambria"/>
          <w:sz w:val="22"/>
        </w:rPr>
        <w:t>Section 2, recording time between 0:20:00-0:40:00</w:t>
      </w:r>
    </w:p>
    <w:p>
      <w:pPr>
        <w:ind w:firstLine="720"/>
        <w:jc w:val="left"/>
      </w:pPr>
      <w:r>
        <w:rPr>
          <w:rFonts w:ascii="Cambria" w:hAnsi="Cambria"/>
          <w:sz w:val="22"/>
        </w:rPr>
        <w:t>pursuing the same opportunity.</w:t>
        <w:br/>
        <w:t>In the rare instance that Heinz U.S. Property Partners and the direct investing platform are pursuing, we flag the same deal at our pipeline call, we will underwrite it in tandem. So we will work on that deal together. And at a point in time, it kind of becomes a first come, first serve. So I'll give an example. There's a multifamily development in Greensboro, North Carolina, that we both raised our hand for. We thought it would profile well as an opportunistic play. They think it profiles well for a long-term hold. We worked on that deal in tandem for probably nine months. They ultimately stepped up and said, hey, we're willing to commit firm capital to this. That was about 12 months before the site was shovel-ready. At that point, we stood down because we did not feel as if it made sense for us to make that same commitment. So I think the way to articulate it is, in a scenario in which there are multiple capital sources interested in an opportunity, we underwrite it in tandem. And to the extent we get to a place where one party is willing to put a stake in the ground, the other will back off. It's kind of a first come, first serve in a scenario where both parties have identified the deal as being something they're serious about. It's pretty rare that a deal gets all the way to that level, partly because of some of the structuring we have to do on the front end, right? Everything that we present to direct access partners will be shovel-ready. So if there's a project that has to go through a zoning or re-entitlement process, there's a good chance that that gets capitalized elsewhere because we don't have the ability to take on that risk. Does that make sense, guys? I guess I would ask, Willie, you're doing a lot of development at Heinz. You're not doing that development in the two funds you called out, the core funds. My assumption, then, is you're doing development off of your own balance sheet and with a lot of institutional partners that are participating alongside of you. Maybe help me understand, where are the development dollars coming from when you're doing projects at Heinz? That is correct. I think a very concise way to say it is the opportunity set for ground-up development at Heinz far exceeds what our discretionary funds can do. Every development deal within the United States, we will see and have an opportunity to capitalize. Where we don't participate is when deals are very, very large, where the return profile doesn't match something that's brought to us by a partner. Outside of that, we have a clear runway. We will underwrite and evaluate to our markets, see all of those deals with the goal of potentially putting them in the direct access partners fund. You called out return profiles. Are your institutional partners seeking higher return profiles than what you're seeking in this program? I would say it's deal-specific and it's opportunity-specific. Right now, I would say there isn't a whole lot of competition for what we're doing right now. I think we, lower cost of capital, our return profile, what we're offering to investor prospects is pretty compelling. The thing we did in Chicago last, in Q4, the project we're in market with right now, there was not another capital source that showed up and tried to pull those away from us. Those were deals that we flagged early on, things we had conviction in because of the markets and the teams on the ground, and they were allocated our way. I'm trying to wrap my head around this whole first-come, first-serve idea. I feel like the direct access is likely going to be slower to act than the other capital sources, which kind of leave direct access last in line for deals, wouldn't it? No. Is direct access ever going to be faster than an institutional partner? Yeah, I would frame it maybe differently. I wouldn't say slower to act. I would say a deal has to profile in a certain way to be actionable for direct access partners. For example, I use an example of a project that might need to go through a rezoning exercise. If you had a pension fund that was based, let's say CalPERS, they're based in California and they are comfortable with San Diego zoning and entitlement law, they may say, hey guys, that site you have for industrial development in suburban San Diego, we'll take the risk on. We'll jump into that early, and that's something we won't action. I would reframe it as we'll be slower than another capital source. I would say maybe we're not as flexible. A deal has to fit within a... It has to be a certain size. It has to be a certain return profile, and we've got to be able to get it to shovel ready with the resources at hand, recognizing that we can't take some of the risks that a large third party might be able to. Does that make sense, Sam? Okay. Yeah, I guess it does. So what, I guess, percentage of deals are you doing that don't have this rezoning risk? So the deal... Is it naturally going to be the case where shovel ready deals go to HDAF and only HDAF and all the other investors are going to have deals that have this embedded rezoning risk? No. So our direct platform has... Everything we've done through our direct platform has been de-risked. So the deals I referenced that we're in market with right now, as well as the direct access partners, those deals are presented. We flagged those deals after they'd been to investment committee and they've effectively received the requisite approvals for vertical capitalization. So in that example I used about the San Diego Industrial, there's a chance that that deal doesn't zone or entitle and it dies on the vine, right? We don't take that risk with our direct deals. Anything that we present to HDAF or even on our one-offs, we're presenting deals that we know have cleared those hurdles and are going vertical. And so that's what I mean by kind of like there's a certain subset of the opportunities we capitalize that will make its way, that fit what we're doing for direct access partners. And then there are other deals that just flat out won't because of what we would call like the pre-development risk associated with the transaction. Does that make sense? Yeah, it does. I guess I'm just trying to get a sense for the magnitude of deals that you guys are doing more broadly because I mean I see the headline numbers in terms of how much you invest, asset levels and all that stuff. But what I don't know is if what you're doing, the bulk of the investment activity includes deals where you're taking this rezoning risk and thus potentially, which you guys are good at it, which we think you're good at it, achieving outsized rewards for investors by taking the risk on or if the majority of your activity would be for deals that would be quote-unquote appropriate for HTAP because they're shovel ready. Does that make sense? I think, yeah, totally makes sense. And I think the best way we can do it is let us go back through. We can do kind of a look back at what we've flagged as deals that we want to capitalize and kind of articulate this is why XY deal didn't, you know, this is why this deal didn't make, this is why this deal was something we flagged. Generally, it's because of, you know, dollars that would be required to put at risk before we know we have a deal or some other stipulation that's brought to us by a family office that, you know, has a capital source that they're going to bring alongside or it's, you know, something that is of scale or the returns don't make. So happy to kind of walk you through that exercise so you guys can feel comfortable with the allocation. We've received this question before. Heinz is a big organization and we do a lot of deals and we want you guys to feel as if like there's a thorough understanding of, hey, this is how this deal is being capitalized. This is how it made it to me. So happy to go through that exercise and touch chat through it. Yeah, and we don't think you guys are doing anything untoward, but I will tell you that we've had a number of calls where it's been presented in a way that is not entirely dissimilar from what you're presenting where it's like, well, there's a set criteria for the retail fund. But then when you dig a couple layers deeper, what that actually means is that the kind of leftovers or excess deal flow is what retail investors get where somebody else that might be a much bigger investor or, you know, can act quicker, whatever it may be, gets all of the, I guess, call it highest quality, highest returning deal flow. That's really what we're trying to get down to. Absolutely. It's certainly going to be more of Byron's world than mine, but I don't know that I've got a good handle on how it works just yet. So it might be informative to get just a better sense in terms of like, all right, so we did all of these deals. We can certainly, we'll run through kind of recent, we can look at our current pipeline and kind of history of some of the stuff that's been capitalized recently and just kind of articulate, hey, this is where we stepped in. We were pencils down here because of, you know, zoning or entitlement risk. Part of what we ask our regional teams to provide on our, you know, Monday morning pipeline call is kind of like a front, like walk us through what it will take to get this project to shovel ready. Because in certain instances, like for example, if it's a, hey, we need to buy $25 million of land before the end of Q1 2026, and we're going to go vertical on this deal in Q1 of 2028, we're out, right? Like we don't have this, our platform doesn't have a resource to carry land for two years and there's substantial risk in kind of return deterioration over that time. So let us put</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originally delivered the deal in May 2024. The major development is that Sonder, the short- and long-term stay platform, filed for bankruptcy in Q4 of last year and officially filed for Chapter 7 in November. Sonder had leased 94 units at the project under a master lease with a five-year term. With the bankruptcy filing, Sonder has effectively vacated the building.</w:t>
        <w:br/>
        <w:br/>
        <w:t>This decision by Sonder was not specifically due to performance issues at this location. From a business-plan perspective, they were performing well in the Sonder units; historic average occupancy for those units was around 92%. Sonder had formed a partnership with Marriott, which provided substantial liquidity, but nationwide growth outpaced realized returns and the investments did not materialize as designed.</w:t>
        <w:br/>
        <w:br/>
        <w:t>They evaluated bringing in another short-term rental operator to replace Sonder. The units are fully outfitted with FF&amp;E (furniture, fixtures, and equipment), move-in ready. Ultimately they decided to backfill the 94 units at market rates and are preparing those units to be marketed as traditional for-rent offerings. They considered other operators, but preferred renting to individual tenants rather than entering another enterprise-level master lease. The prior arrangement with Sonder was a master lease with a guaranteed payment stream, whereas most short-term/hoteling operators work on a revenue-share model rather than long-term master leases.</w:t>
        <w:br/>
        <w:br/>
        <w:t>They have been working with the bankruptcy court on the FF&amp;E. They found a potential third party to take FF&amp;E on some floors and are also assessing keeping FF&amp;E on a couple of floors to market fully furnished units as a test case. Their projection is to achieve full stabilization by early to mid-summer. Most of the affected units are on the lower floors and are heavily weighted toward studio and one-bedroom units, which historically have high turnover. Although the Sonder outcome is not ideal, they believe converting the units to market-rate multifamily is the best course for the project’s operating run-rate and future liquidity.</w:t>
        <w:br/>
        <w:br/>
        <w:t>The multifamily component has continued to perform well, maintaining occupancy in the low- to mid-90% range. On balance, this is a several-month operational blip tied to reabsorbing the 94 units, but removing the concentration of 90-plus units leased to a single master lessee should reduce marketing headwinds when taking the asset to market.</w:t>
        <w:br/>
        <w:br/>
        <w:t>On the office side, they are hovering around 70% leased. The major tenant, Piper Sandler, has moved in and things are going well. Leasing activity increased at the end of the year, with several live prospects. They see a path to mid-70s leasing and potentially above 80%. Broadly, the office market is challenged, but there is good touring and interest from reputable tenants. Their expectation to stabilize overall occupancy is to get above a 90% marker over time, and they view this year as focused on multifamily leasing, improving the office leasing profile, and assessing liquidity scenarios—either selling the entire project inclusive of the office, parcelizing interests (selling multifamily separate from office), or selling condo-style interests. They can sell the office tower without the multifamily and vice versa.</w:t>
        <w:br/>
        <w:br/>
        <w:t>Regarding the direct-access fundraising and selling syndicates, the offering documentation is finalized and they are in the market conducting diligence conversations. They are targeting a first close around June–July and want an attractive, brochure-worthy initial investment aligned with that first close to generate enthusiasm. Feedback has been positive so far.</w:t>
        <w:br/>
        <w:br/>
        <w:t>The distribution partners currently evaluating the offering include Cetera, LPL, Commonwealth, Ozeik (a small firm), and DFPGX has already signed. Numerous RIAs and retail channels are reviewing the opportunity. On the private banking side, they have a strategic partnership with Citi, but Citi is unlikely to participate as a direct-access partner; Citi’s participation will likely be on the club side and they have limited which counterparties are acceptable, excluding certain wirehouse competitors.</w:t>
        <w:br/>
        <w:br/>
        <w:t>Finally, the program’s fundraising window runs roughly two years from first close to winding up fundraising, though the timeline may be a bit shorter.</w:t>
      </w:r>
    </w:p>
    <w:p>
      <w:pPr>
        <w:ind w:firstLine="720"/>
        <w:jc w:val="left"/>
      </w:pPr>
      <w:r>
        <w:rPr>
          <w:rFonts w:ascii="Cambria" w:hAnsi="Cambria"/>
          <w:sz w:val="22"/>
        </w:rPr>
        <w:t>When Heinz U.S. Property Partners and the direct investing platform pursue the same opportunity, they flag the deal at their pipeline call and underwrite it in tandem. They work on the deal together, and at some point it becomes first come, first serve. For example, both raised their hands for a multifamily development in Greensboro, North Carolina. Heinz viewed it as an opportunistic play; the direct platform viewed it as a long-term hold. They worked on that deal in tandem for about nine months. The direct partner ultimately committed firm capital about 12 months before the site was shovel-ready. At that point, Heinz stood down because it did not make sense to make the same commitment.</w:t>
        <w:br/>
        <w:br/>
        <w:t>In scenarios with multiple capital sources interested, they underwrite in tandem. If one party puts a stake in the ground, the other will back off; it is first come, first serve when both parties have identified the deal as serious. It is rare for a deal to reach that level, partly because of front-end structuring. Everything presented to direct access partners is shovel-ready. If a project must go through zoning or re-entitlement, there is a good chance it will be capitalized elsewhere because Heinz cannot take on that risk.</w:t>
        <w:br/>
        <w:br/>
        <w:t>They asked Willie about development at Heinz and the two core funds. The assumption was Heinz does a lot of development off its own balance sheet and with institutional partners. Willie confirmed: the opportunity set for ground-up development at Heinz far exceeds what their discretionary funds can do. Heinz sees every development deal in the United States and has an opportunity to capitalize. They do not participate when deals are very large or when the return profile does not match what a partner brings. Outside those instances, they have a clear runway. They underwrite and evaluate deals across markets with the goal of potentially placing them in the direct access partners’ fund.</w:t>
        <w:br/>
        <w:br/>
        <w:t>Regarding whether institutional partners seek higher return profiles, the response was that it is deal-specific. Currently there is not much competition for what they are doing. With a lower cost of capital, their return profile is compelling to investor prospects. In Chicago in Q4, the project in market did not attract another capital source seeking to pull it away. Those deals were flagged early and allocated to them due to conviction in the markets and the local teams.</w:t>
        <w:br/>
        <w:br/>
        <w:t>On the first-come, first-serve concern — the suggestion that direct access will be slower to act and therefore last in line — they disagreed. Direct access can be faster than an institutional partner. However, a deal must profile in a certain way to be actionable for direct access partners. For example, a project requiring a rezoning exercise might attract a pension fund such as CalPERS, which is comfortable with San Diego zoning and entitlement law; that pension fund may take early risk that direct access will not. In other words, direct access may be less flexible. A deal must be a certain size, have a certain return profile, and be able to be made shovel-ready with the resources at hand. They cannot take some of the risks a larger third party might.</w:t>
        <w:br/>
        <w:br/>
        <w:t>When asked what percentage of deals do not have rezoning risk, they said the direct platform’s deals have been de-risked. Deals presented to direct access partners have been to investment committee and received requisite approvals for vertical capitalization. In the San Diego industrial example, a deal might fail to zone or entitle and die; they do not take that risk with direct deals. Anything presented to HDAF or on one-offs is a deal that has cleared those hurdles and is going vertical. Thus, only a subset of opportunities fit the direct access criteria; other deals will not because of pre-development risk.</w:t>
        <w:br/>
        <w:br/>
        <w:t>Regarding the magnitude of deals, they offered to perform a look-back analysis to articulate why specific deals did or did not make the direct access allocation. Typically a deal is excluded because of dollars required to be put at risk before they know they have a deal, stipulations from a family office bringing capital alongside, the scale of the transaction, or insufficient returns. They will walk through the recent pipeline and capitalization history to show where they stepped in and where they were pencils down due to zoning or entitlement risk.</w:t>
        <w:br/>
        <w:br/>
        <w:t>They acknowledged investor concerns that retail investors might receive leftover deal flow while larger or faster investors get the highest-quality, highest-returning deals. They said they would review the pipeline to demonstrate how allocations are made and to provide transparency on how deals are capitalized.</w:t>
        <w:br/>
        <w:br/>
        <w:t>Part of what they ask regional teams to provide on the Monday morning pipeline call is a front-line assessment of what it will take to get a project to shovel-ready. In certain instances — for example, if a team needs to buy $25 million of land before the end of Q1 2026 and go vertical in Q1 2028 — the platform will not participate. Their platform does not have the resources to carry land for two years, and there is substantial risk of return deterioration over that time.</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They delivered the deal in May 2024. The major operational development: Sonder (short- &amp; long-stay operator) filed for bankruptcy in Q4 (last year) and filed Chapter 7 in November, effectively vacating the building. Sonder had a 5-year master lease on 94 units; those units historically performed well (avg occupancy ~92%) and benefited from a partnership with Marriott, but national growth/returns underperformed. Management decided not to pursue another enterprise master-lease operator and will backfill the 94 units as market-rate for-rent units (units are fully furnished/FF&amp;E and move-in ready). They are working with the bankruptcy court on FF&amp;E disposition, have a potential 3rd-party taker for some floors, and will test keeping FF&amp;E on a few floors to market furnished units. They project full stabilization by early–mid summer. Most affected units are lower floors and skew to studios/1BRs (high turnover), and converting to market-rate multifamily is viewed as best for operating run-rate and liquidity.</w:t>
        <w:br/>
        <w:br/>
        <w:t>Multifamily occupancy overall remains strong (low–mid-90% range). Removing the concentration of 90+ units leased to one master lessee should reduce marketing headwinds when taking the asset to market. Office leasing is ~70% occupied; Piper Sandler is in place. Leasing activity picked up late in the year with live prospects; path to mid-70s and potentially &gt;80% leasing is visible. Their stabilization target is &gt;90% overall occupancy over time. Liquidity/exit scenarios under assessment: sell entire project (incl. office), parcelize (sell MF separate from office), sell condo-style interests, or sell office tower separately.</w:t>
        <w:br/>
        <w:br/>
        <w:t>Fundraising / distribution: offering docs finalized and in market for diligence; targeting first close ~June–July with a brochure-worthy initial investment. Distribution partners reviewing: Cetera, LPL, Commonwealth, Ozeik (small firm); DFPGX has signed. Numerous RIAs and retail channels reviewing. Citi is a strategic private-banking partner but unlikely to join as a direct-access partner (may participate on club side with counterparty limits). Fundraising window ~2 years from first close (may be shorter).</w:t>
        <w:br/>
        <w:br/>
        <w:t>Deal allocation &amp; underwriting process (Heinz vs direct platform): Heinz U.S. Property Partners and the direct investing platform flag and underwrite deals in tandem; allocation becomes first-come, first-serve when both are serious. Example — Greensboro multifamily: worked in tandem ~9 months; direct partner committed firm capital ~12 months before shovel-ready, at which point Heinz stood down. Direct-access deals must be shovel-ready (no rezoning/entitlement risk) — platform avoids pre-development risk. They will perform a look-back analysis to explain cases where direct access did or did not receive allocations. Deal exclusion reasons include dollars required at-risk pre-deal, family office stipulations, deal scale, or insufficient returns. Monday pipeline calls require regional teams to state what’s needed to be shovel-ready; a cited disqualifier example: needing to buy $25M of land before end of Q1 2026 and go vertical Q1 2028 — platform will not participate in that scenario.</w:t>
        <w:br/>
        <w:br/>
        <w:t>Main ideas — bullet points</w:t>
        <w:br/>
        <w:t>- Deal delivery: originally delivered May 2024.</w:t>
        <w:br/>
        <w:t>- Major tenant bankruptcy: Sonder filed for bankruptcy in Q4 (last year) and Chapter 7 in November; Sonder vacated the building.</w:t>
        <w:br/>
        <w:t>- Sonder lease: master lease on 94 units with a 5-year term; prior historic occupancy ~92%.</w:t>
        <w:br/>
        <w:t>- Sonder/Merger liquidity: had partnership with Marriott that provided liquidity, but nationwide growth outpaced realized returns; investments didn’t materialize as planned.</w:t>
        <w:br/>
        <w:t>- Re-leasing strategy: management will backfill the 94 units at market rates as traditional for-rent units (prefer individual leases over another enterprise master lease).</w:t>
        <w:br/>
        <w:t>- FF&amp;E status: units fully outfitted (FF&amp;E, move-in ready); working with bankruptcy court; potential 3rd-party FF&amp;E taker for some floors; will test marketing a couple of floors as fully furnished.</w:t>
        <w:br/>
        <w:t>- Stabilization timeline: project projected to fully stabilize by early–mid summer (year not specified).</w:t>
        <w:br/>
        <w:t>- Unit mix: most affected units on lower floors; skew to studio and 1BR — historically high turnover.</w:t>
        <w:br/>
        <w:t>- MF performance: multifamily component occupancy remains in low–mid-90% range.</w:t>
        <w:br/>
        <w:t>- Operational impact: reabsorbing 94 units is a several-month operational blip; removing concentration of 90+ master-leased units reduces marketing headwinds for exit.</w:t>
        <w:br/>
        <w:t>- Office performance: ~70% leased today; Piper Sandler is the major tenant and in-place; leasing picked up at year-end with several live prospects.</w:t>
        <w:br/>
        <w:t>- Office leasing outlook: path to mid-70s leasing and potentially &gt;80%; office market challenged but showing touring and interest from reputable tenants.</w:t>
        <w:br/>
        <w:t>- Overall stabilization goal: get above 90% occupancy over time.</w:t>
        <w:br/>
        <w:t>- Liquidity/exit options: sell entire project (incl. office), parcelize MF vs office, sell condo-style interests, or sell office tower without MF (either can be sold separately).</w:t>
        <w:br/>
        <w:t>- Fundraising status: offering docs finalized; in-market diligence; target first close ~June–July with an attractive initial tranche to drive momentum.</w:t>
        <w:br/>
        <w:t>- Distribution partners: DFPGX signed; Cetera, LPL, Commonwealth, Ozeik evaluating; numerous RIAs/retail channels reviewing.</w:t>
        <w:br/>
        <w:t>- Citi relationship: strategic private-banking partner; unlikely as direct-access participant — likely on club side with limited acceptable counterparties.</w:t>
        <w:br/>
        <w:t>- Fundraising window: ~2 years from first close to wind-up (could be shorter).</w:t>
        <w:br/>
        <w:t>- Underwriting coordination: Heinz and direct platform flag/underwrite deals in tandem; allocation is first-come, first-serve when both are serious.</w:t>
        <w:br/>
        <w:t>- Example (Greensboro): worked in tandem ~9 months; direct partner committed firm capital ~12 months before shovel-ready → Heinz stood down.</w:t>
        <w:br/>
        <w:t>- Direct-access criteria: deals must be shovel-ready (no rezoning/entitlement risk); platform avoids pre-development risk and large early land carry.</w:t>
        <w:br/>
        <w:t>- Reasons for direct-access exclusion: required dollars at-risk pre-close, family-office stipulations, transaction scale, insufficient return profile.</w:t>
        <w:br/>
        <w:t>- Transparency commitment: will perform look-back analysis and review pipeline to show allocation rationale and address investor concerns about leftover deal flow.</w:t>
        <w:br/>
        <w:t>- Pipeline process: Monday pipeline calls require regional teams to state what’s needed to get a project shovel-ready.</w:t>
        <w:br/>
        <w:t>- Disqualifying example: a scenario requiring purchase of $25M land before end of Q1 2026 and vertical in Q1 2028 — platform will not participate.</w:t>
        <w:br/>
        <w:t>- Speed vs institution: direct access can be faster than institutional partners but is less flexible on risk profile (size, return, shovel-readiness).</w:t>
        <w:br/>
        <w:t>- Capital deployment behavior: when one capital source stakes firm capital, other interested parties typically stand down (first-come, first-serve).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