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September 24, 2025, total duration (20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A lot of the downtown, the local firehouses, RAs, starting systems, masses, sponsors, and other spaces, which has been fantastic. But really, since COVID, we've seen this product grow into something that has a tremendous amount of demand. It's involved with it. On the transition as well, what's happening in the industry, the demographic, and where everyone's at, with their growth, a lot of these assets have been held for generations, for decades. Long growth has been going on with them. You're seeing the opportunity zone, mostly secondary ones, and the amount of demand to accelerate has continued to grow. We really worked above and around $3 billion or so in the early 2010s, late 2010s. The tip stage really got to about $3.65 billion at one moment. You can see on the left side of this. On the right side, you're going to see the growth we saw in 2022, getting up to about $9.3 billion in equity, which was raised at that time. Over the last couple of years, the industry and the markets adjusted. We've seen a bump around closer to the $5 billion range. You'll see 2010, 2011, we were down to $200 million. So it's a pretty significant change as we move from tips to DSPs. But at the low end of that, it's going to be $5 billion, especially the growth we're seeing on different sponsors. We anticipate this industry growing to kind of $10, $15 billion over the next couple of years, and a lot of indicators have shown that it's going to be at $20 billion or more in the foreseeable future. This just goes over very, very quickly how much equity we've raised so far, $5.5 billion last year. Right now, we're turning to about $7.6 billion. Last night, I got the most recent amount available to put together and showed $450 million was raised in the last 15 days. So that exceeds $139 million a week of raising on a weekly basis up to about $214 million. We usually see some growth in the last quarter of the year, so very much, we just came to a billion-dollar year this year. This just gives you a quick background of what the sponsors have been doing. I guess I'll move up here and see the sponsors with the biggest market share. It's a pretty significant name list. A lot of the sponsors that are at the top of the list weren't even around five years ago. So Ares, Art Black Creek, and it's growing now significantly. Fines came out with their first set of $421. It's now the second largest. Inland's been around a really long time, given this is previously the biggest sponsor for a lot of years. They continue to do that, $102 billion in equity a year. Another unique thing about this is most of these top sponsors are actually 721-branded products, which we'll get into a little bit later. Blue Owl's a newer entrance into this space. Investville's recently started coming out with DSPs, so big brands that are continuing into the space. We have here, they'll talk about it a little bit later. This shows the total equity available now. This is the end of August, $2.4 billion. 89 offerings are currently out. Days on market, it's a little bit skewed because there have been deals that have been out for two or three years. They got caught during the industry-wide change and had a value decrease that made those deals stale longer. So the media is a much better look at how long deals are staying out. Most sponsors are trying to come out with deals and raise their equity in about four to six months. You don't want to do all this work. It's a significant amount of work to come out with a deal and have it go out in 30 days. Sponsors may want that, but really, they should be increasing their size to help with them. The previous discussion was due diligence. It's very busy to look at every one of these deals. So coming out with just larger deals that are in about four to six months range is really where sponsors and broker deals are going to be. This different slide shows available equity based on the month. And then it also shows how many weeks of available equity are currently out. At the top of the market, we've got about 36 weeks of equity available. So over a year, about half a year worth of products, which was too much. I think as a market, we like to be in this higher team range because it's a viable market. Deals aren't staying on too long and working through the challenges of that. We don't want to have the low end of it back in, I think it was early 2022, maybe 22, we had about six weeks of available product at that time. So deals are coming out, they were getting too fast. There wasn't enough time to do the proper due diligence. The deals that were coming out weren't the same quality that we needed today. So right now, we just got to set a couple of new team numbers. Right now, there's about 16 or 17 weeks of available equity currently on the marketplace. We've got about 480 million, which is released over that time period. This shows the different states where deals are being done. I would say Texas and Florida always seem to be a sweetheart states, tax-free states, good market, good population, job growth. But we have some a lot more in the Midwest and that's likely because of the overbuilding that's happening in some of these more viable markets. We're selling as much of the development as possible to sign up growth in those markets. But I think people are finding the best risk adjustment against best value in a lot of these Midwest markets as well. So we started seeing more and more coming out, but we're also seeing a lot of industrial deals that are tailored towards the Midwest and that's the bigger component of that. This is a big slide. There's a couple of things I have to say today on the loan to value or all cash deals. So you're seeing a lot of these programs that are all cash, especially in the 721s. There's only two groups that tend to be creative to leverage 721 low-end products. The rest of them are leverage deals. So it skews a bit of these numbers. Industrial, you can see 47%, 48%. Some challenges with this is actually a couple years ago where deals were going full cycle on previous DSP deals and they needed 52%, 53%, 55% loan to value and those deals just didn't exist. So leverage wasn't as big an issue. Now it is. So some of these sponsors have had deals out in the marketplace for a long time. They're going full cycle. They wanted to reinvest with the same sponsor. They sold a deal that said that it's a 53% and there's nothing for them to go into that they can bring out. It has been a challenge for the industry, but we've almost solved that. It hasn't been initiated. It's unique. Look at the hospitality. There's one deal. A couple of deals are out there. One's highly leveraged. One's all cash. Those are a little bit skewed. It's not good to look at these as an average on per-deal basis, but it's good to look at it as an average as a whole. You can look at 2023 really. Since 23 industrial has been average or advantageous. We're now the biggest asset type as an industrial as far as equity available and equity raised. The profits has always kind of been in this first or second range. After availability, we talked about this a little bit. Last year's average for the full year was 22 weeks. Last year at this time, there were 34 weeks available products. The last quarter was busier, so it averaged out to 22 weeks of available products. This year on average has been 17. We're right about that right now with how much equity has been raised. 2.3 billion is the average rate of availability. Right now we have 2.2 assets as of September 15. 149 million average equity raised per week. Again, this last period 485 million on 14 days, seven day basis, 214 million raised in that. We anticipate with the product coming out and the amount of activity that's happening right now that we'll probably get up to that 8 billion range instead of the 7.6 billion range, which is an annualized pound check that's been raised so far. We'll end up being raised. After sales, that's all important. Total equity in full cycle, it's probably about 2.5 billion when you consider the 721s that are operating as well as traditional DSPs that are selling and coming back into the market. About a billion of it is going to be full cycle DSPs, traditional DSPs, about a billion and a half of that's going to be 721 programs. By August 31st, 4.9 billion, so right now we're about 5.4 billion. We'll eclipse that probably this week. What happened last year, we saw a quarter ago, which is where we see the meaningful growth that's going to happen over the next period of time. 5.6 billion, we've seen this was acceptable a little bit earlier. So the 5.6 billion market has always been dominant market industry, and I think it stays that way a little bit because of some of the requirements from some of the larger independents and wire houses. I think for secondary market changes, we'll probably see this move to more of a 5.6 billion program. For those of you who are more familiar with this, you'll like the general solicitation. The biggest thing for broker dealers and RAs is that it takes away the contemplation issue, which is a pretty complicated issue. It's an anti-groin issue for the SEC, but it's something where if a deal launches before you receive a client that's not</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noted many downtown properties, local firehouses, RAs, starting systems, masses, sponsors, and other spaces have been repurposed, which has been positive. Since COVID, this product has grown into something with tremendous demand. They discussed the transition in the industry, demographic shifts, and where sponsors are in their growth cycles. Many of these assets have been held for generations, with long growth periods. Opportunity zones, mostly secondary ones, have seen accelerating demand.</w:t>
        <w:br/>
        <w:br/>
        <w:t>They raised roughly $3 billion in the early to late 2010s, peaking at about $3.65 billion at one point. Equity reached about $9.3 billion in 2022. After market adjustments over the last couple of years, activity settled closer to the $5 billion range. In 2010–2011 activity fell to $200 million. Moving from tips to DSPs produced significant change across the market. They anticipate industry growth to $10–$15 billion over the next couple of years, with many indicators pointing toward $20 billion or more in the foreseeable future.</w:t>
        <w:br/>
        <w:br/>
        <w:t>To date they have raised substantial equity: $5.5 billion last year, and currently about $7.6 billion year-to-date. The most recent data showed $450 million raised in the last 15 days, implying weekly rates between roughly $139 million and $214 million. They noted typical seasonal growth in the last quarter of the year and characterized the current period as approaching a billion-dollar year.</w:t>
        <w:br/>
        <w:br/>
        <w:t>Top sponsors by market share include Ares, Art Black Creek, Fines (which launched with a $421 offering and is now the second largest), Inland (a long-standing sponsor reporting $102 billion in equity annually), Blue Owl (a newer entrant), and Investville (recently launching DSPs). Many of the top sponsors are running 721-branded products.</w:t>
        <w:br/>
        <w:br/>
        <w:t>As of the end of August there was about $2.4 billion of total equity available across 89 offerings. Days on market are skewed by deals that have been out for two to three years and became stale after value declines; median days on market provides a better read. Most sponsors are targeting a four- to six-month raise period. Launching and marketing a deal is significant work; sponsors and broker-dealers are gravitating toward larger deals in the four- to six-month range to allow adequate due diligence.</w:t>
        <w:br/>
        <w:br/>
        <w:t>At the market peak there were about 36 weeks of available equity; in early 2022 availability tightened to roughly six weeks. Currently there are about 16–17 weeks of available equity, with approximately $480 million released over that period. Geographic activity shows Texas and Florida remain high-demand states due to favorable tax treatment, population, and job growth. There is increasing activity in the Midwest, partly driven by overbuilding in some markets and a rise in industrial deals tailored to the region. Many investors are finding attractive risk-adjusted value in Midwest markets.</w:t>
        <w:br/>
        <w:br/>
        <w:t>On loan-to-value (LTV) and all-cash deals, many 721 programs are all-cash. Only a couple of groups have been creative in leveraging low-end 721 products; most are leverage deals, which skews aggregate LTV figures. Industrial LTVs are around 47–48%. A few years ago some sponsors expected reinvestment options at 52–55% LTV, but those opportunities were scarce, creating reinvestment challenges for sponsors whose prior deals went full cycle. That challenge has been mitigated but not fully resolved. Hospitality shows outlier behavior: one highly leveraged deal and one all-cash deal skew averages. It is better to view these metrics at an aggregate level rather than per-deal.</w:t>
        <w:br/>
        <w:br/>
        <w:t>Since 2023, industrial has been the most advantageous and is now the largest asset type in terms of equity available and equity raised. Last year’s average weeks of availability for the full year was 22 weeks, though at the same time last year there were 34 weeks available. This year’s average has been about 17 weeks. Current throughput metrics include an average availability rate of $2.3 billion and about $2.2 billion as of September 15. Average equity raised per week is roughly $149 million. In the most recent period they recorded $485 million over 14 days and $214 million on a seven-day basis. Given current deal flow and activity, they expect annualized totals to reach closer to $8 billion rather than $7.6 billion.</w:t>
        <w:br/>
        <w:br/>
        <w:t>Total equity in full cycle, including operating 721s and traditional DSPs returning to market, is roughly $2.5 billion: about $1 billion from full-cycle traditional DSPs and about $1.5 billion from 721 programs. By August 31 the market stood at $4.9 billion; current totals are about $5.4 billion and are expected to be eclipsed imminently. The market around $5.6 billion has historically been dominant and is likely to remain significant due to requirements from larger independents and wire houses. Secondary market developments could further shift allocations toward a $5.6 billion program structure.</w:t>
        <w:br/>
        <w:br/>
        <w:t>For broker-dealers and RAs, general solicitation matters because it removes contemplation issues—a complex SEC consideration. If a deal launches before a client relationship exists, that raises regulatory concerns under the contemplation rules.</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Demand for repurposed real estate (downtown properties, former firehouses, legacy assets) has surged since COVID, driven by demographic shifts, sponsor growth cycles and accelerating interest in opportunity zones (mainly secondary). The market has seen wide swings: fundraising peaked in the 2010s and 2022, pulled back after recent market adjustments, and is now re-accelerating. Key sponsors (Ares, Art Black Creek, Fines, Inland, Blue Owl, Investville) and many 721-branded products dominate market share. Current market liquidity and throughput metrics show mid-single‑digit weeks of available equity relative to past peaks, with industrial assets now the largest and most favorable sector since 2023. Cash vs. leveraged structures (especially 721s) and LTV dynamics remain important constraints for reinvestment. Total market equity and flow are tracking toward higher annual totals (annualized closer to $8B), with near-term totals sitting in the $5B–$5.6B neighborhood. Regulatory considerations (SEC “contemplation” rules) continue to matter for B/Ds and RAs when deals are publicly launched before client relationships exist.</w:t>
        <w:br/>
        <w:br/>
        <w:t>Main points (bulleted):</w:t>
        <w:br/>
        <w:t>- Product/market dynamics</w:t>
        <w:br/>
        <w:t xml:space="preserve">  - Post-COVID repurposing of downtown properties, firehouses and other legacy spaces has been positive and in strong demand.</w:t>
        <w:br/>
        <w:t xml:space="preserve">  - Industry transition driven by demographic shifts and sponsors at different growth-cycle stages; many assets held for generations with long growth periods.</w:t>
        <w:br/>
        <w:t xml:space="preserve">  - Opportunity zones (mainly secondary) seeing accelerating demand.</w:t>
        <w:br/>
        <w:br/>
        <w:t>- Historical fundraising and expectations</w:t>
        <w:br/>
        <w:t xml:space="preserve">  - Raised roughly $3B in early–late 2010s, peaking at ~$3.65B.</w:t>
        <w:br/>
        <w:t xml:space="preserve">  - Equity peaked at ~$9.3B in 2022.</w:t>
        <w:br/>
        <w:t xml:space="preserve">  - Activity settled closer to ~$5B after recent market adjustments.</w:t>
        <w:br/>
        <w:t xml:space="preserve">  - 2010–2011 activity dropped to $200M.</w:t>
        <w:br/>
        <w:t xml:space="preserve">  - Near-term industry growth forecast: $10–$15B in next couple years; many indicators point toward $20B+ longer-term.</w:t>
        <w:br/>
        <w:br/>
        <w:t>- Sponsor fundraising performance (recent)</w:t>
        <w:br/>
        <w:t xml:space="preserve">  - Firm-level: $5.5B raised last year; currently ~$7.6B YTD.</w:t>
        <w:br/>
        <w:t xml:space="preserve">  - Recent velocity: $450M raised in last 15 days → implied weekly rate between ~$139M and ~$214M.</w:t>
        <w:br/>
        <w:t xml:space="preserve">  - Seasonal note: typical pickup in Q4; current period characterized as approaching a billion-dollar year (seasonality impact).</w:t>
        <w:br/>
        <w:br/>
        <w:t>- Top sponsors / market share</w:t>
        <w:br/>
        <w:t xml:space="preserve">  - Top sponsors: Ares; Art Black Creek; Fines (launched with $421M offering; now 2nd largest); Inland (reports $102B in equity annually); Blue Owl; Investville (recent DSP launches).</w:t>
        <w:br/>
        <w:t xml:space="preserve">  - Many top sponsors running 721-branded products.</w:t>
        <w:br/>
        <w:br/>
        <w:t>- Availability, timing and deal mechanics</w:t>
        <w:br/>
        <w:t xml:space="preserve">  - As of end of Aug: ~$2.4B total equity available across 89 offerings.</w:t>
        <w:br/>
        <w:t xml:space="preserve">  - Current weeks-of-available-equity: ~16–17 weeks (vs. market peak ~36 weeks; early‑2022 tightened to ~6 weeks).</w:t>
        <w:br/>
        <w:t xml:space="preserve">  - ~$480M released over the current ~16–17 week period.</w:t>
        <w:br/>
        <w:t xml:space="preserve">  - Median days-on-market preferred metric (mean skewed by stale deals 2–3 years old).</w:t>
        <w:br/>
        <w:t xml:space="preserve">  - Most sponsors target a 4–6 month raise period; sponsors and B/Ds gravitating to larger deals to allow adequate diligence.</w:t>
        <w:br/>
        <w:br/>
        <w:t>- Throughput &amp; recent flow metrics</w:t>
        <w:br/>
        <w:t xml:space="preserve">  - Full‑year last year avg weeks available = 22 weeks; same time last year was 34 weeks.</w:t>
        <w:br/>
        <w:t xml:space="preserve">  - This year’s average weeks available ≈ 17 weeks.</w:t>
        <w:br/>
        <w:t xml:space="preserve">  - Avg availability (throughput) = $2.3B; ~$2.2B as of Sept 15.</w:t>
        <w:br/>
        <w:t xml:space="preserve">  - Avg equity raised per week ≈ $149M.</w:t>
        <w:br/>
        <w:t xml:space="preserve">  - Recent: $485M over 14 days; $214M over 7 days.</w:t>
        <w:br/>
        <w:t xml:space="preserve">  - Expect annualized totals closer to ~$8B (vs. current ~$7.6B YTD).</w:t>
        <w:br/>
        <w:br/>
        <w:t>- Asset classes, LTVs and structure</w:t>
        <w:br/>
        <w:t xml:space="preserve">  - Since 2023 industrial = most advantageous and now largest asset class by equity available and raised.</w:t>
        <w:br/>
        <w:t xml:space="preserve">  - Many 721 programs are all-cash; most other sponsors use leverage (skews aggregate LTV).</w:t>
        <w:br/>
        <w:t xml:space="preserve">  - Industrial LTVs ≈ 47–48%.</w:t>
        <w:br/>
        <w:t xml:space="preserve">  - A few years ago sponsors sought reinvestment at 52–55% LTV — those opportunities were scarce, creating reinvestment challenges; situation mitigated but not fully resolved.</w:t>
        <w:br/>
        <w:t xml:space="preserve">  - Hospitality is an outlier (one highly leveraged deal and one all-cash deal skew averages).</w:t>
        <w:br/>
        <w:t xml:space="preserve">  - Aggregate-level metrics are more meaningful than per-deal snapshots.</w:t>
        <w:br/>
        <w:br/>
        <w:t>- Full-cycle and market sizing today</w:t>
        <w:br/>
        <w:t xml:space="preserve">  - Total equity in full cycle (operating 721s + traditional DSPs returning): ≈ $2.5B (≈ $1B traditional full-cycle DSPs; ≈ $1.5B from 721s).</w:t>
        <w:br/>
        <w:t xml:space="preserve">  - By Aug 31 market stood at $4.9B; current totals ≈ $5.4B and expected to be eclipsed soon.</w:t>
        <w:br/>
        <w:t xml:space="preserve">  - Historical dominant market size ≈ $5.6B — likely to remain significant given needs of larger independents and wire houses.</w:t>
        <w:br/>
        <w:t xml:space="preserve">  - Secondary market developments could reallocate toward a $5.6B program structure.</w:t>
        <w:br/>
        <w:br/>
        <w:t>- Geography and investor sentiment</w:t>
        <w:br/>
        <w:t xml:space="preserve">  - TX and FL remain high-demand markets (favorable tax treatment, population &amp; job growth).</w:t>
        <w:br/>
        <w:t xml:space="preserve">  - Midwest activity increasing (some overbuilding in certain markets; rise in industrial deals targeting region).</w:t>
        <w:br/>
        <w:t xml:space="preserve">  - Investors finding attractive risk-adjusted value in Midwest markets.</w:t>
        <w:br/>
        <w:br/>
        <w:t>- Regulatory considerations for B/Ds and RAs</w:t>
        <w:br/>
        <w:t xml:space="preserve">  - General solicitation matters re: SEC “contemplation” rules.</w:t>
        <w:br/>
        <w:t xml:space="preserve">  - Launching a deal before a client relationship exists raises regulatory issues for B/Ds and RAs under contemplation rules.</w:t>
        <w:br/>
        <w:br/>
        <w:t>Actionable implications for Exec Director / FI:</w:t>
        <w:br/>
        <w:t>- Monitor sponsor flows (Ares, Art Black Creek, Fines, Inland, Blue Owl, Investville) and 721 vs DSP product mix for allocation decisions.</w:t>
        <w:br/>
        <w:t>- Track weekly raise velocity (~$139M–$214M range recently; avg ~$149M/wk) to gauge market liquidity and capacity.</w:t>
        <w:br/>
        <w:t>- Focus on industrial exposure and Midwest opportunistic plays given recent outperformance and LTV profile (~47–48%).</w:t>
        <w:br/>
        <w:t>- Assess reinvestment mechanics and leverage appetite given constrained reinvestment opportunities historically at 52–55% LTV.</w:t>
        <w:br/>
        <w:t>- Ensure B/D and RA marketing/compliance practices mitigate SEC contemplation risks when launching/soliciting deals.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